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разъяснения-прокурора-юзао"/>
    <w:p>
      <w:pPr>
        <w:pStyle w:val="Heading3"/>
      </w:pPr>
      <w:r>
        <w:t xml:space="preserve">Разъяснения прокурора ЮЗАО</w:t>
      </w:r>
    </w:p>
    <w:p>
      <w:pPr>
        <w:pStyle w:val="FirstParagraph"/>
      </w:pPr>
      <w:r>
        <w:t xml:space="preserve">14.05.2024</w:t>
      </w:r>
    </w:p>
    <w:p>
      <w:pPr>
        <w:pStyle w:val="BodyText"/>
      </w:pPr>
      <w:r>
        <w:rPr>
          <w:bCs/>
          <w:b/>
        </w:rPr>
        <w:t xml:space="preserve">1. Внесены изменения в трудовое законодательство о гарантиях добровольцам Росгвардии</w:t>
      </w:r>
    </w:p>
    <w:p>
      <w:pPr>
        <w:pStyle w:val="BodyText"/>
      </w:pPr>
      <w:r>
        <w:t xml:space="preserve">Федеральным законом от 25.12.2023 № 642-ФЗ внесены изменения в Трудовой кодекс Российской Федерации, которыми установлены особенности трудовых прав граждан, являющихся участниками добровольческих формирований Росгвардии.</w:t>
      </w:r>
    </w:p>
    <w:p>
      <w:pPr>
        <w:pStyle w:val="BodyText"/>
      </w:pPr>
      <w:r>
        <w:t xml:space="preserve">Гарантии, предоставляемые работникам в связи с прохождением военной службы по мобилизации или военной службы по контракту, а также в связи с заключением работником контракта о добровольном содействии в выполнении задач, возложенных на Вооруженные Силы Российской Федерации, распространены на лиц, заключивших контракт о добровольном содействии в выполнении задач, возложенных на войска Росгвардии.</w:t>
      </w:r>
    </w:p>
    <w:p>
      <w:pPr>
        <w:pStyle w:val="BodyText"/>
      </w:pPr>
      <w:r>
        <w:t xml:space="preserve">В частности, за работником сохраняется место работы (должность), социально-трудовые гарантии, в том числе дополнительное страхование, негосударственное пенсионное обеспечение, улучшение социально-бытовых условий работника.</w:t>
      </w:r>
    </w:p>
    <w:p>
      <w:pPr>
        <w:pStyle w:val="BodyText"/>
      </w:pPr>
      <w:r>
        <w:t xml:space="preserve">Законом предусмотрены гарантии и для членов семьи добровольцев. Так, предоставлено преимущественное право оставления на работе при сокращении работнику, имеющему ребенка в возрасте до 18 лет, если второй родитель является добровольцем в войсках Росгвардии.</w:t>
      </w:r>
    </w:p>
    <w:p>
      <w:pPr>
        <w:pStyle w:val="BodyText"/>
      </w:pPr>
      <w:r>
        <w:rPr>
          <w:bCs/>
          <w:b/>
        </w:rPr>
        <w:t xml:space="preserve">2. Расширен перечень растений, запрещенных к культивированию в России</w:t>
      </w:r>
    </w:p>
    <w:p>
      <w:pPr>
        <w:pStyle w:val="BodyText"/>
      </w:pPr>
      <w:r>
        <w:t xml:space="preserve">Отдельные дачники и садоводы полагают, что на своем земельном участке они могут выращивать различные растения. Вместе с тем, за культивирование некоторых культур возможно привлечение к уголовной ответственности.</w:t>
      </w:r>
    </w:p>
    <w:p>
      <w:pPr>
        <w:pStyle w:val="BodyText"/>
      </w:pPr>
      <w:r>
        <w:t xml:space="preserve">Постановлением Правительства Российской Федерации от 27.11.2010 № 934 утвержден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pPr>
        <w:pStyle w:val="BodyText"/>
      </w:pPr>
      <w:r>
        <w:t xml:space="preserve">Таких растений довольно много, в их число включены содержащие потенциально опасные для человека вещества. Среди них голубой лотос; грибы любого вида, содержащие псилоцибин и (или) псилоцин; кактусы, содержащие мескалин; кокаиновый куст, конопля, различные виды мака, содержащие наркотические средства; мимоза хостилис; шалфей предсказателей, роза гавайская и др.</w:t>
      </w:r>
    </w:p>
    <w:p>
      <w:pPr>
        <w:pStyle w:val="BodyText"/>
      </w:pPr>
      <w:r>
        <w:t xml:space="preserve">Постановлением Правительства Российской Федерации от 07.02.2024 № 135 этот перечень дополнен еще тремя растениями:</w:t>
      </w:r>
    </w:p>
    <w:p>
      <w:pPr>
        <w:pStyle w:val="BodyText"/>
      </w:pPr>
      <w:r>
        <w:t xml:space="preserve">• гармала,</w:t>
      </w:r>
    </w:p>
    <w:p>
      <w:pPr>
        <w:pStyle w:val="BodyText"/>
      </w:pPr>
      <w:r>
        <w:t xml:space="preserve">• ипомея трехцветная,</w:t>
      </w:r>
    </w:p>
    <w:p>
      <w:pPr>
        <w:pStyle w:val="BodyText"/>
      </w:pPr>
      <w:r>
        <w:t xml:space="preserve">• турбина щитковидная.</w:t>
      </w:r>
    </w:p>
    <w:p>
      <w:pPr>
        <w:pStyle w:val="BodyText"/>
      </w:pPr>
      <w:r>
        <w:t xml:space="preserve">Незаконное культивирование указанных растений от 10 единиц влечет уголовную ответственность по ст. 231 УК РФ.</w:t>
      </w:r>
    </w:p>
    <w:p>
      <w:pPr>
        <w:pStyle w:val="BodyText"/>
      </w:pPr>
      <w:r>
        <w:t xml:space="preserve">Наказание зависит от количества запрещенных растений на участке.</w:t>
      </w:r>
    </w:p>
    <w:p>
      <w:pPr>
        <w:pStyle w:val="BodyText"/>
      </w:pPr>
      <w:r>
        <w:t xml:space="preserve">К уголовной ответственности могут привлечь и за выращивание 2 единиц кактуса, содержащего мескалин, а также от 4 растений кокаинового куста. Максимальное наказание - лишение свободы на срок до 8 лет</w:t>
      </w:r>
    </w:p>
    <w:p>
      <w:pPr>
        <w:pStyle w:val="BodyText"/>
      </w:pPr>
      <w:r>
        <w:t xml:space="preserve">Выращивание растений в меньшем количестве, является административным правонарушением (ст. 10.5.1 КоАП РФ). В этом случае гражданам грозит административный штраф в размере от трех до пяти тысяч рублей или административный арест на срок до 15 суток; юридическим лицам - от ста до трехсот тысяч рублей.</w:t>
      </w:r>
    </w:p>
    <w:p>
      <w:pPr>
        <w:pStyle w:val="BodyText"/>
      </w:pPr>
      <w:r>
        <w:rPr>
          <w:bCs/>
          <w:b/>
        </w:rPr>
        <w:t xml:space="preserve">3.</w:t>
      </w:r>
      <w:r>
        <w:t xml:space="preserve"> </w:t>
      </w:r>
      <w:r>
        <w:t xml:space="preserve">Постановлением Правительства РФ от 01.03.2024 № 256 «Об утверждении Правил предоставления единовременной выплаты, установленной Указом Президента Российской Федерации от 21.12.2023 №975 «О мерах социальной поддержки семей, имеющих детей, пострадавших от агрессии Украины», а также перечня документов (сведений), необходимых для ее назначения» установлены порядок и условия назначения и осуществления единовременной выплаты в размере 100 000 рублей на ребенка, получившего в возрасте до 18 лет увечье (ранение, травму, контузию) на территории новых субъектов РФ либо территории субъекта РФ, прилегающей к районам проведения СВО.</w:t>
      </w:r>
    </w:p>
    <w:p>
      <w:pPr>
        <w:pStyle w:val="BodyText"/>
      </w:pPr>
      <w:r>
        <w:t xml:space="preserve">Единовременная выплата предоставляется одному из родителей (законных представителей) пострадавшего ребенка, являющегося гражданином РФ, постоянно проживающего на территории РФ и получившего после 18.02.2022 увечье (ранение, травму, контузию), или самому пострадавшему ребенку, если на момент выплаты он достиг возраста 18 лет.</w:t>
      </w:r>
    </w:p>
    <w:p>
      <w:pPr>
        <w:pStyle w:val="BodyText"/>
      </w:pPr>
      <w:r>
        <w:t xml:space="preserve">Единовременная выплата осуществляется на каждого пострадавшего ребенка. Единовременная выплата назначается и выплачивается территориальным органом СФР по месту жительства или месту пребывания пострадавшего ребенка при документальном подтверждении получения увечья (ранения, травмы, контузии). Решение о назначении либо об отказе в назначении единовременной выплаты принимается в течение 10 рабочих дней после получения заявления и документов.</w:t>
      </w:r>
    </w:p>
    <w:p>
      <w:pPr>
        <w:pStyle w:val="BodyText"/>
      </w:pPr>
      <w:r>
        <w:t xml:space="preserve">Единовременная выплата производится через кредитные организации не позднее 5 рабочих дней после принятия решения о назначении выплаты. Плата за банковские услуги по операциям со средствами, предусмотренными на единовременную выплату, не взимается.</w:t>
      </w:r>
    </w:p>
    <w:p>
      <w:pPr>
        <w:pStyle w:val="BodyText"/>
      </w:pPr>
      <w:r>
        <w:t xml:space="preserve">Назначение единовременной выплаты производится независимо от получения других выплат, предусмотренных законодательством РФ, законодательством субъектов РФ и актами органов местного самоуправления.</w:t>
      </w:r>
    </w:p>
    <w:p>
      <w:pPr>
        <w:pStyle w:val="BodyText"/>
      </w:pPr>
      <w:r>
        <w:t xml:space="preserve">Указанные положения распространяются на правоотношения, возникшие с 21 декабря 2023 года.</w:t>
      </w:r>
    </w:p>
    <w:p>
      <w:pPr>
        <w:pStyle w:val="BodyText"/>
      </w:pPr>
      <w:r>
        <w:rPr>
          <w:bCs/>
          <w:b/>
        </w:rPr>
        <w:t xml:space="preserve">4. О порядке использования электронных документов в ходе досудебного производства</w:t>
      </w:r>
    </w:p>
    <w:p>
      <w:pPr>
        <w:pStyle w:val="BodyText"/>
      </w:pPr>
      <w:r>
        <w:t xml:space="preserve">Федеральный законодатель продолжает работу по оптимизации досудебной стадии уголовного судопроизводства за счет использования современных цифровых платформ и технологий, повышения доступности правосудия, снижения процессуальных и временных издержек сторон.</w:t>
      </w:r>
    </w:p>
    <w:p>
      <w:pPr>
        <w:pStyle w:val="BodyText"/>
      </w:pPr>
      <w:r>
        <w:t xml:space="preserve">С 05.01.2024 вступили в силу внесенные Федеральным законом от 25.12.2023 № 672-ФЗ изменения в Уголовно-процессуальный кодекс Российской Федерации, регламентирующие порядок использования электронных документов в ходе досудебного производства.</w:t>
      </w:r>
    </w:p>
    <w:p>
      <w:pPr>
        <w:pStyle w:val="BodyText"/>
      </w:pPr>
      <w:r>
        <w:t xml:space="preserve">В настоящее время в соответствии со ст. 474.2 УПК РФ ходатайство, заявление, за исключением заявления о преступлении, жалоба, представление, требование, не содержащие сведений, составляющих государственную или иную охраняемую федеральным законом тайну, затрагивающих безопасность государства, права и законные интересы несовершеннолетних, или сведений о преступлениях против половой неприкосновенности или половой свободы личности, при наличии технической возможности могут быть поданы прокурору, следователю, руководителю следственного органа, в орган дознания, дознавателю в форме электронного документа.</w:t>
      </w:r>
    </w:p>
    <w:p>
      <w:pPr>
        <w:pStyle w:val="BodyText"/>
      </w:pPr>
      <w:r>
        <w:t xml:space="preserve">Прилагаемые к ним материалы также подаются в электронном виде и заверяются лицом, подавшим указанные документы, усиленной квалифицированной электронной подписью.</w:t>
      </w:r>
    </w:p>
    <w:p>
      <w:pPr>
        <w:pStyle w:val="BodyText"/>
      </w:pPr>
      <w:r>
        <w:t xml:space="preserve">Ходатайства об ознакомлении с материалами уголовного дела, о получении копий процессуальных документов, об участии в следственных и иных процессуальных действиях могут быть подписаны простой электронной подписью.</w:t>
      </w:r>
    </w:p>
    <w:p>
      <w:pPr>
        <w:pStyle w:val="BodyText"/>
      </w:pPr>
      <w:r>
        <w:t xml:space="preserve">Повестка или уведомление в форме электронного документа могут быть направлены посредством Единого портала, при наличии технической возможности и согласии уведомляемого лица, либо посредством единой системы межведомственного электронного взаимодействия.</w:t>
      </w:r>
    </w:p>
    <w:p>
      <w:pPr>
        <w:pStyle w:val="BodyText"/>
      </w:pPr>
      <w:r>
        <w:t xml:space="preserve">Определено, что по ходатайству или с согласия обвиняемого, защитника или потерпевшего и при наличии технической возможности им может быть вручена копия обвинительного заключения в форме электронного документа, подписанного усиленной квалифицированной электронной подписью.</w:t>
      </w:r>
    </w:p>
    <w:p>
      <w:pPr>
        <w:pStyle w:val="BodyText"/>
      </w:pPr>
      <w:r>
        <w:t xml:space="preserve">В случае, если обвиняемый содержится под стражей, указанные документы вручаются ему по поручению прокурора администрацией места содержания под стражей на предоставленном органом предварительного расследования техническом устройстве для чтения электронных книг, не имеющем функций аудио- и видеозаписи, видеовоспроизведения и выхода в сеть «Интернет».</w:t>
      </w:r>
    </w:p>
    <w:p>
      <w:pPr>
        <w:pStyle w:val="BodyText"/>
      </w:pPr>
      <w:r>
        <w:rPr>
          <w:bCs/>
          <w:b/>
        </w:rPr>
        <w:t xml:space="preserve">5. Вступил в силу закон, в соответствии с которым субъекты РФ смогут запрещать розничную продажу алкогольных напитков в отдельных местах.</w:t>
      </w:r>
    </w:p>
    <w:p>
      <w:pPr>
        <w:pStyle w:val="BodyText"/>
      </w:pPr>
      <w:r>
        <w:t xml:space="preserve">Теперь регионы смогут устанавливать требование об осуществлении розничной продажи пива и пивных напитков, сидра, пуаре, медовухи при оказании услуг общественного питания только в таких объектах общественного питания как:</w:t>
      </w:r>
    </w:p>
    <w:p>
      <w:pPr>
        <w:pStyle w:val="BodyText"/>
      </w:pPr>
      <w:r>
        <w:t xml:space="preserve">- рестораны;</w:t>
      </w:r>
    </w:p>
    <w:p>
      <w:pPr>
        <w:pStyle w:val="BodyText"/>
      </w:pPr>
      <w:r>
        <w:t xml:space="preserve">- бары;</w:t>
      </w:r>
    </w:p>
    <w:p>
      <w:pPr>
        <w:pStyle w:val="BodyText"/>
      </w:pPr>
      <w:r>
        <w:t xml:space="preserve">- кафе;</w:t>
      </w:r>
    </w:p>
    <w:p>
      <w:pPr>
        <w:pStyle w:val="BodyText"/>
      </w:pPr>
      <w:r>
        <w:t xml:space="preserve">- буфеты,</w:t>
      </w:r>
    </w:p>
    <w:p>
      <w:pPr>
        <w:pStyle w:val="BodyText"/>
      </w:pPr>
      <w:r>
        <w:t xml:space="preserve">в том числе расположенных в многоквартирных домах и (или) на прилегающих к ним территориях.</w:t>
      </w:r>
    </w:p>
    <w:p>
      <w:pPr>
        <w:pStyle w:val="BodyText"/>
      </w:pPr>
      <w:r>
        <w:t xml:space="preserve">Новшество позволит запретить продажу алкоголя в местах, реализующих его под видом оказания услуг общественного питания.</w:t>
      </w:r>
    </w:p>
    <w:p>
      <w:pPr>
        <w:pStyle w:val="BodyText"/>
      </w:pPr>
      <w:r>
        <w:t xml:space="preserve">Также субъекты РФ вправе ограничить время розничной продажи алкогольной продукции при оказании услуг общественного питания в объектах общественного питания (за исключением ресторанов), расположенных в многоквартирных домах и (или) на прилегающих к ним территориях.</w:t>
      </w:r>
    </w:p>
    <w:p>
      <w:pPr>
        <w:pStyle w:val="BodyText"/>
      </w:pPr>
      <w:r>
        <w:t xml:space="preserve">Изменения внесены Федеральным законом от 14.02.2024 № 6-ФЗ в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вступили в силу с 01.04.2024.</w:t>
      </w:r>
    </w:p>
    <w:p>
      <w:pPr>
        <w:pStyle w:val="BodyText"/>
      </w:pPr>
      <w:r>
        <w:rPr>
          <w:bCs/>
          <w:b/>
        </w:rPr>
        <w:t xml:space="preserve">6. Явка с повинной, как смягчающее наказание обстоятельство</w:t>
      </w:r>
    </w:p>
    <w:p>
      <w:pPr>
        <w:pStyle w:val="BodyText"/>
      </w:pPr>
      <w:r>
        <w:t xml:space="preserve">Под явкой с повинной, которая в силу п. «и» ч. 1 ст. 61 УК РФ, является обстоятельством смягчающим наказание, следует понимать добровольное сообщение лица о совершенном им или с его участием преступлении.</w:t>
      </w:r>
    </w:p>
    <w:p>
      <w:pPr>
        <w:pStyle w:val="BodyText"/>
      </w:pPr>
      <w:r>
        <w:t xml:space="preserve">Согласно ч. 2 ст. 142 УПК РФ заявление о явке с повинной может быть сделано, как в письменном, так и в устном виде. Неоформление заявления о явке с повинной в качестве самостоятельного процессуального документа не влияет на учет этого обстоятельства в качестве смягчающего наказание.</w:t>
      </w:r>
    </w:p>
    <w:p>
      <w:pPr>
        <w:pStyle w:val="BodyText"/>
      </w:pPr>
      <w:r>
        <w:t xml:space="preserve">Не признается явкой с повинной заявление о преступлении, сделанное лицом хотя и добровольно, но в связи с его задержанием по подозрению в совершении данного преступления. В таких случаях, признание лицом своей вины в совершении преступления может быть учтено судом в качестве иного смягчающего обстоятельства в порядке ч. 2 ст. 61 УК РФ или, при наличии к тому оснований, как активное способствование раскрытию и расследованию преступления.</w:t>
      </w:r>
    </w:p>
    <w:p>
      <w:pPr>
        <w:pStyle w:val="BodyText"/>
      </w:pPr>
      <w:r>
        <w:t xml:space="preserve">Добровольное сообщение лица о совершенном им или с его участием преступлении признается явкой с повинной и в том случае, когда лицо в дальнейшем в ходе предварительного расследования или в судебном заседании не подтвердило сообщенные им сведения.</w:t>
      </w:r>
    </w:p>
    <w:p>
      <w:pPr>
        <w:pStyle w:val="BodyText"/>
      </w:pPr>
      <w:r>
        <w:t xml:space="preserve">При совокупности совершенных преступлений явка с повинной как обстоятельство, смягчающее наказание, учитывается при назначении наказания за преступление, в связи с которым лицо явилось с повинной.</w:t>
      </w:r>
    </w:p>
    <w:p>
      <w:pPr>
        <w:pStyle w:val="BodyText"/>
      </w:pPr>
      <w:r>
        <w:t xml:space="preserve">Явка с повинной, признанная судом первой инстанции в качестве смягчающего наказание обстоятельства, предусмотренного п. «и» ч. 1 ст. 61 УК РФ, при отсутствии отягчающих обстоятельств является основанием для назначения наказания с применением положений ч. 1 ст. 62 УК РФ. В данном случае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pPr>
        <w:pStyle w:val="BodyText"/>
      </w:pPr>
      <w:r>
        <w:rPr>
          <w:bCs/>
          <w:b/>
        </w:rPr>
        <w:t xml:space="preserve">7. О возможности регистрации по месту пребывания в гостинице, санатории с использованием единой биометрической системы</w:t>
      </w:r>
    </w:p>
    <w:p>
      <w:pPr>
        <w:pStyle w:val="BodyText"/>
      </w:pPr>
      <w:r>
        <w:t xml:space="preserve">В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Правила предоставления гостиничных услуг в Российской Федерации постановлением Правительства Российской Федерации от 20.03.2024 № 341 внесены изменения.</w:t>
      </w:r>
    </w:p>
    <w:p>
      <w:pPr>
        <w:pStyle w:val="BodyText"/>
      </w:pPr>
      <w:r>
        <w:t xml:space="preserve">Начиная с 30 марта 2024 года, предусмотрена возможность регистрации гражданина по месту пребывания в гостинице, санатории, доме отдыха, пансионате, кемпинге, медицинской организации, на туристской базе или в ином подобном учреждении на основании сведений, полученных с использованием единой биометрической системы.</w:t>
      </w:r>
    </w:p>
    <w:p>
      <w:pPr>
        <w:pStyle w:val="BodyText"/>
      </w:pPr>
      <w:r>
        <w:t xml:space="preserve">Эта возможность распространена и на несовершеннолетних.</w:t>
      </w:r>
    </w:p>
    <w:p>
      <w:pPr>
        <w:pStyle w:val="BodyText"/>
      </w:pPr>
      <w:r>
        <w:t xml:space="preserve">Наряду с этим, заселение как и ранее, осуществляется при условии предъявления потребителем документа, удостоверяющего его личность в соответствии с законодательством Российской Федерации, паспорта гражданина Российской Федерации; свидетельства о рождении – для лица, не достигшего 14-летнего возраста; временного удостоверения личности гражданина Российской Федерации; паспорта иностранного гражданина либо иного документа, удостоверяющего личность иностранного гражданина, лица без гражданства и др.</w:t>
      </w:r>
    </w:p>
    <w:p>
      <w:pPr>
        <w:pStyle w:val="BodyText"/>
      </w:pPr>
      <w:r>
        <w:rPr>
          <w:bCs/>
          <w:b/>
        </w:rPr>
        <w:t xml:space="preserve">8. Ответственность за размещение противоправной и недостоверной информации</w:t>
      </w:r>
    </w:p>
    <w:p>
      <w:pPr>
        <w:pStyle w:val="BodyText"/>
      </w:pPr>
      <w:r>
        <w:t xml:space="preserve">В соответствии с Федеральным законом «О средствах массовой информации» не допускается использование средств массовой информации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террористических и экстремистских материалов, материалов, пропагандирующих порнографию, насилие и жестокость, содержащих нецензурную брань, а также пропагандирующих нетрадиционные сексуальные отношения.</w:t>
      </w:r>
    </w:p>
    <w:p>
      <w:pPr>
        <w:pStyle w:val="BodyText"/>
      </w:pPr>
      <w:r>
        <w:t xml:space="preserve">Статьей 13.15 Кодекса Российской Федерации об административных правонарушениях предусмотрена административная ответственность за злоупотребление свободой массовой информации.</w:t>
      </w:r>
    </w:p>
    <w:p>
      <w:pPr>
        <w:pStyle w:val="BodyText"/>
      </w:pPr>
      <w:r>
        <w:t xml:space="preserve">К нарушениям административного законодательства отнесены:</w:t>
      </w:r>
    </w:p>
    <w:p>
      <w:pPr>
        <w:pStyle w:val="BodyText"/>
      </w:pPr>
      <w:r>
        <w:t xml:space="preserve">-использование технических приемов и способов распространения информации, воздействующих на подсознание людей и оказывающих вредное влияние на их здоровье;</w:t>
      </w:r>
    </w:p>
    <w:p>
      <w:pPr>
        <w:pStyle w:val="BodyText"/>
      </w:pPr>
      <w:r>
        <w:t xml:space="preserve">-распространение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их прекурсоров;</w:t>
      </w:r>
    </w:p>
    <w:p>
      <w:pPr>
        <w:pStyle w:val="BodyText"/>
      </w:pPr>
      <w:r>
        <w:t xml:space="preserve">-распространение информации о несовершеннолетнем, пострадавшем в результате противоправных действий, включая фото- и видеоматериалы, а также его данные, позволяющие прямо или косвенно установить личность несовершеннолетнего;</w:t>
      </w:r>
    </w:p>
    <w:p>
      <w:pPr>
        <w:pStyle w:val="BodyText"/>
      </w:pPr>
      <w:r>
        <w:t xml:space="preserve">-распространение сведений, содержащих инструкции по самодельному изготовлению взрывчатых веществ и взрывных устройств, незаконному изготовлению или переделке оружия, изготовлению боеприпасов и др.</w:t>
      </w:r>
    </w:p>
    <w:p>
      <w:pPr>
        <w:pStyle w:val="BodyText"/>
      </w:pPr>
      <w:r>
        <w:t xml:space="preserve">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публичное осквернение символов воинской славы России;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здоровью граждан, общественной безопасности если эти действия лица, распространяющего информацию,</w:t>
      </w:r>
      <w:r>
        <w:t xml:space="preserve"> </w:t>
      </w:r>
      <w:r>
        <w:rPr>
          <w:bCs/>
          <w:b/>
        </w:rPr>
        <w:t xml:space="preserve">не содержат уголовно наказуемого деяния также являются злоупотреблением свободой массовой информации.</w:t>
      </w:r>
    </w:p>
    <w:p>
      <w:pPr>
        <w:pStyle w:val="BodyText"/>
      </w:pPr>
      <w:r>
        <w:t xml:space="preserve">Совершение указанных действий влечет за собой наложение административного штрафа. Максимальное наказание составит:</w:t>
      </w:r>
    </w:p>
    <w:p>
      <w:pPr>
        <w:pStyle w:val="BodyText"/>
      </w:pPr>
      <w:r>
        <w:t xml:space="preserve">• для граждан до 300 тысяч рублей в зависимости от вида нарушения;</w:t>
      </w:r>
    </w:p>
    <w:p>
      <w:pPr>
        <w:pStyle w:val="BodyText"/>
      </w:pPr>
      <w:r>
        <w:t xml:space="preserve">• для должностных лиц до 600 тысяч рублей;</w:t>
      </w:r>
    </w:p>
    <w:p>
      <w:pPr>
        <w:pStyle w:val="BodyText"/>
      </w:pPr>
      <w:r>
        <w:t xml:space="preserve">• для юридических лиц до 5 миллионов рублей.</w:t>
      </w:r>
    </w:p>
    <w:p>
      <w:pPr>
        <w:pStyle w:val="BodyText"/>
      </w:pPr>
      <w:r>
        <w:t xml:space="preserve">Повторное совершение отдельных административных правонарушений влечет наложение административного штрафа в повышенном размере. В этом случае наказание составит:</w:t>
      </w:r>
    </w:p>
    <w:p>
      <w:pPr>
        <w:pStyle w:val="BodyText"/>
      </w:pPr>
      <w:r>
        <w:t xml:space="preserve">• для граждан от 300 тысяч до 400 тысяч рублей;</w:t>
      </w:r>
    </w:p>
    <w:p>
      <w:pPr>
        <w:pStyle w:val="BodyText"/>
      </w:pPr>
      <w:r>
        <w:t xml:space="preserve">• для должностных лиц от 600 тысяч до 900 тысяч рублей;</w:t>
      </w:r>
    </w:p>
    <w:p>
      <w:pPr>
        <w:pStyle w:val="BodyText"/>
      </w:pPr>
      <w:r>
        <w:t xml:space="preserve">• для юридических лиц от 5 миллионов до 10 миллионов рублей.</w:t>
      </w:r>
    </w:p>
    <w:p>
      <w:pPr>
        <w:pStyle w:val="BodyText"/>
      </w:pPr>
      <w:r>
        <w:t xml:space="preserve">Также помимо административного штрафа предусмотрена конфискация предмета административного правонарушения</w:t>
      </w:r>
    </w:p>
    <w:p>
      <w:pPr>
        <w:pStyle w:val="BodyText"/>
      </w:pPr>
      <w:r>
        <w:rPr>
          <w:bCs/>
          <w:b/>
        </w:rPr>
        <w:t xml:space="preserve">9.</w:t>
      </w:r>
      <w:r>
        <w:t xml:space="preserve"> </w:t>
      </w:r>
      <w:r>
        <w:t xml:space="preserve">Практически год назад в Правила дорожного движения внесены изменения, согласно которым введено понятие «средство индивидуальной мобильности» (СИМ).</w:t>
      </w:r>
    </w:p>
    <w:p>
      <w:pPr>
        <w:pStyle w:val="BodyText"/>
      </w:pPr>
      <w:r>
        <w:t xml:space="preserve">К таковым отнесены транспортные средства, имеющие одно или несколько колес (роликов), предназначенное для индивидуального передвижения человека посредством использования двигателя.</w:t>
      </w:r>
    </w:p>
    <w:p>
      <w:pPr>
        <w:pStyle w:val="BodyText"/>
      </w:pPr>
      <w:r>
        <w:t xml:space="preserve">Постановлением Правительства Российской Федерации от 06.10.2022 № 1769 закреплен порядок езды на электросамокатах, гироскутерах, моноколесах и иных аналогичных устройствах.</w:t>
      </w:r>
    </w:p>
    <w:p>
      <w:pPr>
        <w:pStyle w:val="BodyText"/>
      </w:pPr>
      <w:r>
        <w:t xml:space="preserve">Движение лиц, использующих для передвижения средства индивидуальной мобильности, в возрасте старше 14 лет должно осуществляться по велосипедной, велопешеходной дорожкам, проезжей части велосипедной зоны или полосе для велосипедистов.</w:t>
      </w:r>
    </w:p>
    <w:p>
      <w:pPr>
        <w:pStyle w:val="BodyText"/>
      </w:pPr>
      <w:r>
        <w:t xml:space="preserve">Определено, что на средствах индивидуальной мобильности допускается перемещаться со скоростью не более 25 км/ч. При этом масса электротранспорта, на котором разрешается передвигаться по тротуарам, вело- и пешеходным дорожкам, не должна превышать 35 кг.</w:t>
      </w:r>
    </w:p>
    <w:p>
      <w:pPr>
        <w:pStyle w:val="BodyText"/>
      </w:pPr>
      <w:r>
        <w:t xml:space="preserve">Движение лиц, использующих для передвижения средства индивидуальной мобильности,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pPr>
        <w:pStyle w:val="BodyText"/>
      </w:pPr>
      <w:r>
        <w:t xml:space="preserve">Только в сопровождении взрослых должно осуществляться движение детей в возрасте младше 7 лет, использующих для передвижения средства индивидуальной мобильности.</w:t>
      </w:r>
    </w:p>
    <w:p>
      <w:pPr>
        <w:pStyle w:val="BodyText"/>
      </w:pPr>
      <w:r>
        <w:t xml:space="preserve">Движение электросамокатов и других средств индивидуальной мобильности должно регулироваться специальными дорожными знаками, разрешающими, ограничивающими или запрещающими перемещение на таких видах транспорта в тех или иных зонах.</w:t>
      </w:r>
    </w:p>
    <w:p>
      <w:pPr>
        <w:pStyle w:val="BodyText"/>
      </w:pPr>
      <w:r>
        <w:t xml:space="preserve">Следует помнить, что во всех случаях совмещенного с пешеходами движения лиц, использующих СИМ, пешеходы имеют приоритет.</w:t>
      </w:r>
    </w:p>
    <w:p>
      <w:pPr>
        <w:pStyle w:val="BodyText"/>
      </w:pPr>
      <w:r>
        <w:t xml:space="preserve">На электросамокатах любой массы разрешается ездить по правому краю проезжей части дорог лицам старше 14 лет и там, где максимальная скорость движения ограничена 60 км/ч, а также разрешено движение велосипедистов, если отсутствует тротуар, пешеходная дорожка, обочина, велосипедная и велопешеходная дорожки.</w:t>
      </w:r>
    </w:p>
    <w:p>
      <w:pPr>
        <w:pStyle w:val="BodyText"/>
      </w:pPr>
      <w:r>
        <w:t xml:space="preserve">Кроме того, средство индивидуальной мобильности должно быть оборудовано тормозной системой, звуковым сигналом, световозвращателями сзади и по бокам, а также фарой (фонарем) белого цвета спереди.</w:t>
      </w:r>
    </w:p>
    <w:p>
      <w:pPr>
        <w:pStyle w:val="BodyText"/>
      </w:pPr>
      <w:r>
        <w:t xml:space="preserve">Под запретом езда на одном электросамокате вдвоем.</w:t>
      </w:r>
    </w:p>
    <w:p>
      <w:pPr>
        <w:pStyle w:val="BodyText"/>
      </w:pPr>
      <w:r>
        <w:t xml:space="preserve">Прокуратура напоминает, что соблюдение установленных правил сохранит жизнь и здоровье вам, а также окружающим вас лицам.</w:t>
      </w:r>
    </w:p>
    <w:p>
      <w:pPr>
        <w:pStyle w:val="BodyText"/>
      </w:pPr>
      <w:r>
        <w:rPr>
          <w:bCs/>
          <w:b/>
        </w:rPr>
        <w:t xml:space="preserve">10. Особенности проведения государственной итоговой аттестации и приема на обучение в 2024 году</w:t>
      </w:r>
    </w:p>
    <w:p>
      <w:pPr>
        <w:pStyle w:val="BodyText"/>
      </w:pPr>
      <w:r>
        <w:t xml:space="preserve">Постановлением Правительства Российской Федерации от 26.01.2024 № 67 «Об особенностях проведения государственной итоговой аттестации и приема на обучение в 2024 году» установлен порядок проведения государственной итоговой аттестации (далее – ГИА) при завершении освоения образовательных программ основного общего и среднего общего образования для граждан, проходивших обучение за рубежом и вынужденных прервать его в связи с недружественными действиями иностранных государств, в 2024 году.</w:t>
      </w:r>
    </w:p>
    <w:p>
      <w:pPr>
        <w:pStyle w:val="BodyText"/>
      </w:pPr>
      <w:r>
        <w:t xml:space="preserve">Установлены особенности проведения ГИА для граждан,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pPr>
        <w:pStyle w:val="BodyText"/>
      </w:pPr>
      <w:r>
        <w:t xml:space="preserve">- 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начиная с 2021/22 учебного года на обучение в организации, осуществляющие образовательную деятельность;</w:t>
      </w:r>
    </w:p>
    <w:p>
      <w:pPr>
        <w:pStyle w:val="BodyText"/>
      </w:pPr>
      <w:r>
        <w:t xml:space="preserve">- 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BodyText"/>
      </w:pPr>
      <w:r>
        <w:t xml:space="preserve">Для вышеуказанных граждан ГИА проводится по их выбору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ГИА, утвержденными Министерством просвещения Российской Федерации и Федеральной службой по надзору в сфере образования и науки.</w:t>
      </w:r>
    </w:p>
    <w:p>
      <w:pPr>
        <w:pStyle w:val="BodyText"/>
      </w:pPr>
      <w:r>
        <w:rPr>
          <w:bCs/>
          <w:b/>
        </w:rPr>
        <w:t xml:space="preserve">11. Упрощена процедура перевода жилого помещения в нежилое и обратно</w:t>
      </w:r>
    </w:p>
    <w:p>
      <w:pPr>
        <w:pStyle w:val="BodyText"/>
      </w:pPr>
      <w:r>
        <w:t xml:space="preserve">Федеральным законом от 19.12.2023 № 608-ФЗ внесены изменения в Жилищный кодекс РФ и Федеральный закон «О государственной регистрации недвижимости», предусматривающие уточнение процедур перевода жилого помещения в нежилое помещение и нежилого помещения в жилое помещение, а также процедур переустройства и перепланировки помещения в многоквартирном доме.</w:t>
      </w:r>
    </w:p>
    <w:p>
      <w:pPr>
        <w:pStyle w:val="BodyText"/>
      </w:pPr>
      <w:r>
        <w:t xml:space="preserve">Так, в соответствии с изменениями перепланировка помещения в многоквартирном доме представляет собой изменение границ, площади такого помещения, образование новых помещений, в том числе в случаях приобретения собственником помещения, смежного с принадлежащим ему помещением в многоквартирном доме и (или) изменение его внутренней планировки, в том числе без изменения границ и площади помещения.</w:t>
      </w:r>
    </w:p>
    <w:p>
      <w:pPr>
        <w:pStyle w:val="BodyText"/>
      </w:pPr>
      <w:r>
        <w:t xml:space="preserve">После завершения переустройства, перепланировки помещения в многоквартирном доме заявитель направляет в орган, осуществляющий согласование (орган местного самоуправления), уведомление о завершении указанных работ и технический план (в случае перепланировки).</w:t>
      </w:r>
    </w:p>
    <w:p>
      <w:pPr>
        <w:pStyle w:val="BodyText"/>
      </w:pPr>
      <w:r>
        <w:t xml:space="preserve">Если после перепланировки образовалось новое помещение, то к указанным документам необходимо приложить сведения об оплате государственной пошлины за государственную регистрацию прав на недвижимое имущество.</w:t>
      </w:r>
    </w:p>
    <w:p>
      <w:pPr>
        <w:pStyle w:val="BodyText"/>
      </w:pPr>
      <w:r>
        <w:t xml:space="preserve">После получения данного уведомления уполномоченный орган в срок, не превышающий 30 дней со дня его получения, утверждает акт приёмочной комиссии, подтверждающий факт переустройства, перепланировки помещения в многоквартирном доме.</w:t>
      </w:r>
    </w:p>
    <w:p>
      <w:pPr>
        <w:pStyle w:val="BodyText"/>
      </w:pPr>
      <w:r>
        <w:t xml:space="preserve">Перепланировка помещения в многоквартирном доме считается завершенной со дня внесения сведений об изменениях в Единый государственный реестр недвижимости.</w:t>
      </w:r>
    </w:p>
    <w:p>
      <w:pPr>
        <w:pStyle w:val="BodyText"/>
      </w:pPr>
      <w:r>
        <w:t xml:space="preserve">Кадастровый учёт и государственная регистрация прав на помещение осуществляется по заявлению органа местного самоуправления.</w:t>
      </w:r>
    </w:p>
    <w:p>
      <w:pPr>
        <w:pStyle w:val="BodyText"/>
      </w:pPr>
      <w:r>
        <w:t xml:space="preserve">Изменения вступили в силу с 1 апреля 2024 года и применяются в отношении переустройства, перепланировки помещения в многоквартирном доме, иных работ, проведение которых необходимо для обеспечения использования помещения в качестве жилого помещения или нежилого помещения, которые завершены после дня вступления в силу Федерального закона № 608-ФЗ и проводились в соответствии с решением о переводе жилого помещения в нежилое помещение или нежилого помещения в жилое помещение либо решением о согласовании перепланировки помещения (помещений) в многоквартирном доме, принятыми до дня вступления в силу указанного Федерального закона.</w:t>
      </w:r>
    </w:p>
    <w:p>
      <w:pPr>
        <w:pStyle w:val="BodyText"/>
      </w:pPr>
      <w:r>
        <w:rPr>
          <w:bCs/>
          <w:b/>
        </w:rPr>
        <w:t xml:space="preserve">12. Порядок общения с детьми в случае развода родителей</w:t>
      </w:r>
    </w:p>
    <w:p>
      <w:pPr>
        <w:pStyle w:val="BodyText"/>
      </w:pPr>
      <w:r>
        <w:t xml:space="preserve">Права и обязанности родителей в отношении их детей определены Семейным кодексом Российской Федерации.</w:t>
      </w:r>
    </w:p>
    <w:p>
      <w:pPr>
        <w:pStyle w:val="BodyText"/>
      </w:pPr>
      <w:r>
        <w:t xml:space="preserve">При раздельном проживании родителей место жительства детей устанавливается заключенным между ними соглашением. Если согласие отсутствует, спор подлежит рассмотрению в судебном порядке.</w:t>
      </w:r>
    </w:p>
    <w:p>
      <w:pPr>
        <w:pStyle w:val="BodyText"/>
      </w:pPr>
      <w:r>
        <w:t xml:space="preserve">Принимая решение, суд учитывает привязанность ребенка к каждому из родителей, родственникам, его возраст, существующие между членами семьи отношения, условия для его воспитания и развития.</w:t>
      </w:r>
    </w:p>
    <w:p>
      <w:pPr>
        <w:pStyle w:val="BodyText"/>
      </w:pPr>
      <w:r>
        <w:t xml:space="preserve">В таких процессах обязательно участвуют специалисты органов опеки и попечительства и дают заключение по существу дела исходя из интересов несовершеннолетнего. Родитель, с которым проживает ребенок, не должен препятствовать его общению с другим родителем, если оно не причиняет вред физическому и психическому здоровью, а также нравственному развитию ребенка.</w:t>
      </w:r>
    </w:p>
    <w:p>
      <w:pPr>
        <w:pStyle w:val="BodyText"/>
      </w:pPr>
      <w:r>
        <w:t xml:space="preserve">Лишение детей права на общение с другим родителем как до, так и после вступления в силу судебного решения влечет административную ответственность.</w:t>
      </w:r>
    </w:p>
    <w:p>
      <w:pPr>
        <w:pStyle w:val="BodyText"/>
      </w:pPr>
      <w:r>
        <w:rPr>
          <w:bCs/>
          <w:b/>
        </w:rPr>
        <w:t xml:space="preserve">13. Чем отличается находка от кражи?</w:t>
      </w:r>
    </w:p>
    <w:p>
      <w:pPr>
        <w:pStyle w:val="BodyText"/>
      </w:pPr>
      <w:r>
        <w:t xml:space="preserve">Нашедший потерянную вещь обязан немедленно уведомить об этом лицо, потерявшее её, или собственника вещи или кого-либо другого из известных ему лиц, имеющих право получить её, и возвратить найденную вещь этому лицу (ч. 1 ст. 227 ГК РФ). Если указанные лица неизвестны, нашедший вещь обязан заявить о находке в полицию или в орган местного самоуправления.</w:t>
      </w:r>
    </w:p>
    <w:p>
      <w:pPr>
        <w:pStyle w:val="BodyText"/>
      </w:pPr>
      <w:r>
        <w:t xml:space="preserve">Скоропортящаяся вещь или вещь, издержки по хранению которой несоизмеримо велики с её стоимостью, может быть реализована нашедшим вещь с получением доказательств, удостоверяющих сумму выручки. При этом деньги, полученные от продажи найденной вещи, подлежат возврату лицу, управомоченному на её получение.</w:t>
      </w:r>
    </w:p>
    <w:p>
      <w:pPr>
        <w:pStyle w:val="BodyText"/>
      </w:pPr>
      <w:r>
        <w:t xml:space="preserve">Если в течении 6 месяцев с момента заявления о находке в полицию или в орган местного самоуправления лицо, управомоченное получить найденную вещь, не будет установлено или само не заявит о своём праве на вещь, нашедший приобретает право собственности на неё.</w:t>
      </w:r>
    </w:p>
    <w:p>
      <w:pPr>
        <w:pStyle w:val="BodyText"/>
      </w:pPr>
      <w:r>
        <w:t xml:space="preserve">Согласно ч. 1 ст. 158 УК РФ кража - это тайное хищение чужого имущества.</w:t>
      </w:r>
    </w:p>
    <w:p>
      <w:pPr>
        <w:pStyle w:val="BodyText"/>
      </w:pPr>
      <w:r>
        <w:t xml:space="preserve">Таким образом, главным отличием кражи от находки является противоправность действий, направленных на тайное изъятие имущества у его собственника. В свою очередь находка противоправным действием не является.</w:t>
      </w:r>
    </w:p>
    <w:p>
      <w:pPr>
        <w:pStyle w:val="BodyText"/>
      </w:pPr>
      <w:r>
        <w:t xml:space="preserve">За кражу в зависимости от стоимости похищенного установлена административная (ст. 7.27 КоАП РФ) и уголовная (ст. 158 УК РФ) ответственность.</w:t>
      </w:r>
    </w:p>
    <w:p>
      <w:pPr>
        <w:pStyle w:val="BodyText"/>
      </w:pPr>
      <w:r>
        <w:rPr>
          <w:bCs/>
          <w:b/>
        </w:rPr>
        <w:t xml:space="preserve">14. Ответственность за пропаганду нацистской атрибутики</w:t>
      </w:r>
    </w:p>
    <w:p>
      <w:pPr>
        <w:pStyle w:val="BodyText"/>
      </w:pPr>
      <w:r>
        <w:t xml:space="preserve">Статьей 20.3 Кодекса Российской Федерации об административных правонарушениях установлена административная ответственность за пропаганду либо публичное демонстрирование нацистской атрибутики или символики, либо атрибутики или символики экстремистских организаций.</w:t>
      </w:r>
    </w:p>
    <w:p>
      <w:pPr>
        <w:pStyle w:val="BodyText"/>
      </w:pPr>
      <w:r>
        <w:t xml:space="preserve">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влечет наложение административного штрафа на граждан в размере от 1 до 2 тыс. руб. с конфискацией предмета административного правонарушения либо административный арест на срок до 15 суток с конфискацией предмета административного правонарушения; на должностных лиц – от 1 до 4 тыс. руб. с конфискацией предмета административного правонарушения; на юридических лиц – от 10 до 15 тыс. руб. с конфискацией предмета административного правонарушения.</w:t>
      </w:r>
    </w:p>
    <w:p>
      <w:pPr>
        <w:pStyle w:val="BodyText"/>
      </w:pPr>
      <w:r>
        <w:t xml:space="preserve">За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предусмотрена административная ответственность в виде штрафа на граждан в размере от 1 до 2,5 руб. с конфискацией предмета административного правонарушения; на должностных лиц – от 2 до 5 тыс. руб. с конфискацией предмета административного правонарушения; на юридических лиц – от 20 до 100 тыс. руб. с конфискацией предмета административного правонарушения.</w:t>
      </w:r>
    </w:p>
    <w:p>
      <w:pPr>
        <w:pStyle w:val="BodyText"/>
      </w:pPr>
      <w:r>
        <w:rPr>
          <w:bCs/>
          <w:b/>
        </w:rPr>
        <w:t xml:space="preserve">15. Организация незаконной миграции влечет уголовную ответственность</w:t>
      </w:r>
    </w:p>
    <w:p>
      <w:pPr>
        <w:pStyle w:val="BodyText"/>
      </w:pPr>
      <w:r>
        <w:t xml:space="preserve">Организация незаконной миграции - умышленное совершение действий, создающих условия для осуществления одним или несколькими иностранными гражданами или лицами без гражданства незаконного въезда в Российскую Федерацию, незаконного пребывания на ее территории, а также незаконного транзитного проезда через ее территорию Российской Федерации, включая въезд иностранных граждан по туристическим визам с целью незаконной миграции в другое государство.</w:t>
      </w:r>
    </w:p>
    <w:p>
      <w:pPr>
        <w:pStyle w:val="BodyText"/>
      </w:pPr>
      <w:r>
        <w:t xml:space="preserve">За организацию незаконного въезда в Российскую Федерацию иностранных граждан или лиц без гражданства, их незаконное пребывание в Российской Федерации или незаконный транзитный проезд через территорию Российской Федерации предусмотрена уголовная ответственность в соответствии со ст. 322.1 Уголовного кодекса Российской Федерации.</w:t>
      </w:r>
    </w:p>
    <w:p>
      <w:pPr>
        <w:pStyle w:val="BodyText"/>
      </w:pPr>
      <w:r>
        <w:t xml:space="preserve">За совершение данного преступления предусмотрено наказание в виде лишения свободы на срок до 5 лет с ограничением свободы на срок до 2 лет или без такового.</w:t>
      </w:r>
    </w:p>
    <w:p>
      <w:pPr>
        <w:pStyle w:val="BodyText"/>
      </w:pPr>
      <w:r>
        <w:t xml:space="preserve">Наказание в виде лишения свободы на срок до 7 лет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 до 2 лет либо без такового может быть назначено за указанное преступление, если оно совершено:</w:t>
      </w:r>
    </w:p>
    <w:p>
      <w:pPr>
        <w:pStyle w:val="BodyText"/>
      </w:pPr>
      <w:r>
        <w:t xml:space="preserve">- группой лиц по предварительному сговору;</w:t>
      </w:r>
    </w:p>
    <w:p>
      <w:pPr>
        <w:pStyle w:val="BodyText"/>
      </w:pPr>
      <w:r>
        <w:t xml:space="preserve">- в целях совершения преступления на территории Российской Федерации;</w:t>
      </w:r>
    </w:p>
    <w:p>
      <w:pPr>
        <w:pStyle w:val="BodyText"/>
      </w:pPr>
      <w:r>
        <w:t xml:space="preserve">- лицом с использованием своего служебного положения.</w:t>
      </w:r>
    </w:p>
    <w:p>
      <w:pPr>
        <w:pStyle w:val="BodyText"/>
      </w:pPr>
      <w:r>
        <w:rPr>
          <w:bCs/>
          <w:b/>
        </w:rPr>
        <w:t xml:space="preserve">16. Административная ответственность несовершеннолетних за употребление наркотиков</w:t>
      </w:r>
    </w:p>
    <w:p>
      <w:pPr>
        <w:pStyle w:val="BodyText"/>
      </w:pPr>
      <w:r>
        <w:t xml:space="preserve">В соответствии со ст. 6.9 КоАП РФ установлена административная ответственность за потребление без назначения врача наркотических средств или психотропных веществ либо новых потенциально опасных психоактивных веществ.</w:t>
      </w:r>
    </w:p>
    <w:p>
      <w:pPr>
        <w:pStyle w:val="BodyText"/>
      </w:pPr>
      <w:r>
        <w:t xml:space="preserve">Согласно ч. 2 ст. 20.20 КоАП РФ предусмотрена административная ответственность за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w:t>
      </w:r>
    </w:p>
    <w:p>
      <w:pPr>
        <w:pStyle w:val="BodyText"/>
      </w:pPr>
      <w:r>
        <w:t xml:space="preserve">За данные правонарушения может быть назначено наказание в виде штрафа в размере до 5000 рублей или административный арест на срок до 15 суток.</w:t>
      </w:r>
    </w:p>
    <w:p>
      <w:pPr>
        <w:pStyle w:val="BodyText"/>
      </w:pPr>
      <w:r>
        <w:t xml:space="preserve">За данные административные правонарушения могут быть привлечены несовершеннолетние, которые достигли 16-летнего возраста.</w:t>
      </w:r>
    </w:p>
    <w:p>
      <w:pPr>
        <w:pStyle w:val="BodyText"/>
      </w:pPr>
      <w:r>
        <w:t xml:space="preserve">При этом несовершеннолетним административный арест не назначается.</w:t>
      </w:r>
    </w:p>
    <w:p>
      <w:pPr>
        <w:pStyle w:val="BodyText"/>
      </w:pPr>
      <w:r>
        <w:t xml:space="preserve">В случае нахождения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привлечению к административной ответственности подлежат их родители или законные представители по ст. 20.22 КоАП РФ, которой предусмотрено наложение административного штрафа на родителей или иных законных представителей несовершеннолетних в размере до 2000 рублей.</w:t>
      </w:r>
    </w:p>
    <w:p>
      <w:pPr>
        <w:pStyle w:val="BodyText"/>
      </w:pPr>
      <w:r>
        <w:t xml:space="preserve">Законом также предусмотрена возможность освобождения виновного лица от административной ответственности в случае, если оно добровольно обратится в медицинскую организацию для лечения в связи с потреблением наркотических средств или психоактивных веществ без назначения врача.</w:t>
      </w:r>
    </w:p>
    <w:p>
      <w:pPr>
        <w:pStyle w:val="BodyText"/>
      </w:pPr>
      <w:r>
        <w:rPr>
          <w:bCs/>
          <w:b/>
        </w:rPr>
        <w:t xml:space="preserve">17. Принят закон, направленный на совершенствование законодательства о целевом обучении</w:t>
      </w:r>
    </w:p>
    <w:p>
      <w:pPr>
        <w:pStyle w:val="BodyText"/>
      </w:pPr>
      <w:r>
        <w:t xml:space="preserve">В связи с принятием Федерального закона от 14.04.2023 № 124-ФЗ «О внесении изменений в Федеральный закон «Об образовании в Российской Федерации» Федеральный закон от 29.12.2012 № 273-ФЗ «Об образовании в Российской Федерации» дополнен определением понятия «целевое обучение».</w:t>
      </w:r>
    </w:p>
    <w:p>
      <w:pPr>
        <w:pStyle w:val="BodyText"/>
      </w:pPr>
      <w:r>
        <w:t xml:space="preserve">В целях формирования системы открытого конкурса предложения о заключении договоров о целевом обучении должны будут размещаться заказчиками на портале «Работа в России».</w:t>
      </w:r>
    </w:p>
    <w:p>
      <w:pPr>
        <w:pStyle w:val="BodyText"/>
      </w:pPr>
      <w:r>
        <w:t xml:space="preserve">Гражданин, желающий заключить договор, сможет подать заявку как при приеме на обучение, так и непосредственно во время обучения.</w:t>
      </w:r>
    </w:p>
    <w:p>
      <w:pPr>
        <w:pStyle w:val="BodyText"/>
      </w:pPr>
      <w:r>
        <w:t xml:space="preserve">Заказчиками целевого обучения не могут быть лица, признанные иностранными агентами, и лица, указанные в Федеральном законе от 04.06.2018 № 127-ФЗ «О мерах воздействия (противодействия) на недружественные действия Соединенных Штатов Америки и иных иностранных государств».</w:t>
      </w:r>
    </w:p>
    <w:p>
      <w:pPr>
        <w:pStyle w:val="BodyText"/>
      </w:pPr>
      <w:r>
        <w:t xml:space="preserve">Договором о целевом обучении могут предусматриваться в том числе требования заказчика к успеваемости и условие о возможности сокращения мер поддержки студента при невыполнении им этих требований.</w:t>
      </w:r>
    </w:p>
    <w:p>
      <w:pPr>
        <w:pStyle w:val="BodyText"/>
      </w:pPr>
      <w:r>
        <w:t xml:space="preserve">Федеральный закон вступает в силу с 1 мая 2024 года. Новые требования к договорам о целевом обучении будут применяться начиная с приема на обучение на 2024/25 учебный год.</w:t>
      </w:r>
    </w:p>
    <w:p>
      <w:pPr>
        <w:pStyle w:val="BodyText"/>
      </w:pPr>
      <w:r>
        <w:t xml:space="preserve">Действие положений Федерального закона «Об образовании в Российской Федерации» (в редакции Федерального закона от 14.04.2023 № 124-ФЗ) не распространяется на правоотношения, возникшие из договоров о целевом обучении, заключенных до дня вступления в силу названного Федерального закона.</w:t>
      </w:r>
    </w:p>
    <w:p>
      <w:pPr>
        <w:pStyle w:val="BodyText"/>
      </w:pPr>
      <w:r>
        <w:br/>
      </w:r>
    </w:p>
    <w:p>
      <w:pPr>
        <w:pStyle w:val="BodyText"/>
      </w:pPr>
      <w:r>
        <w:t xml:space="preserve">Адрес страницы:</w:t>
      </w:r>
      <w:r>
        <w:t xml:space="preserve"> </w:t>
      </w:r>
      <w:hyperlink r:id="rId20">
        <w:r>
          <w:rPr>
            <w:rStyle w:val="Hyperlink"/>
          </w:rPr>
          <w:t xml:space="preserve">http://uzao.mos.ru/nash-okrug/prokuror-razyasnyaet/detail/12368499.html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368499.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nash-okrug/prokuror-razyasnyaet/detail/1236849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2024-08-14T16:37:11Z</dcterms:created>
  <dcterms:modified xsi:type="dcterms:W3CDTF">2024-08-14T16:37:11Z</dcterms:modified>
</cp:coreProperties>
</file>

<file path=docProps/custom.xml><?xml version="1.0" encoding="utf-8"?>
<Properties xmlns="http://schemas.openxmlformats.org/officeDocument/2006/custom-properties" xmlns:vt="http://schemas.openxmlformats.org/officeDocument/2006/docPropsVTypes"/>
</file>