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Xaad5bc1494d9b0724787c9f5d96262fd849689a"/>
    <w:p>
      <w:pPr>
        <w:pStyle w:val="Heading3"/>
      </w:pPr>
      <w:r>
        <w:t xml:space="preserve">Прокурор Юго-Западного административного округа г. Москвы разъясняет 04.03.2024</w:t>
      </w:r>
    </w:p>
    <w:p>
      <w:pPr>
        <w:pStyle w:val="FirstParagraph"/>
      </w:pPr>
      <w:r>
        <w:t xml:space="preserve">04.03.2024</w:t>
      </w:r>
    </w:p>
    <w:bookmarkStart w:id="21" w:name="dpage_0_h"/>
    <w:bookmarkStart w:id="20" w:name="pagecontainer_0"/>
    <w:p>
      <w:pPr>
        <w:pStyle w:val="BodyText"/>
      </w:pPr>
      <w:r>
        <w:t xml:space="preserve">1. Нововведения в сфере законодательства о безопасности дорожного движения Вступили в силу изменения в статьи 25 и 26 Федерального закона от 10.12.1995 № 196 «О безопасности дорожного движения», согласно которым установлен новый порядок использования в России иностранных и международных водительских удостоверений, а также правила их замены. Теперь при получении вида на жительство либо гражданства Российской Федерации необходимо в течение года сменить иностранные национальные и международные водительские удостоверения на удостоверения российского образца. То же самое в течение года с даты первого въезда в Российскую Федерацию должен сделать гражданин России, получивший иностранные права за границей и приехавший в Российскую Федерацию. Эти правила не распространяются на водительские удостоверения, выданные в Республике Беларусь. Запрещено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Исключение сделано для граждан Киргизской Республики, а также граждан государств, законодательство которых закрепляет использование русского языка в качестве официального. Новеллы коснулись порядка получения российских национальных водительских удостоверений на основании иностранных национальных водительских удостоверений. Так, выдача российских водительских удостоверений на основании иностранных и подтверждающих право на управление транспортными средствами</w:t>
      </w:r>
    </w:p>
    <w:bookmarkEnd w:id="20"/>
    <w:bookmarkEnd w:id="21"/>
    <w:bookmarkStart w:id="23" w:name="dpage_1_h"/>
    <w:bookmarkStart w:id="22" w:name="pagecontainer_1"/>
    <w:p>
      <w:pPr>
        <w:pStyle w:val="BodyText"/>
      </w:pPr>
      <w:r>
        <w:t xml:space="preserve">любой из категорий производится после успешной сдачи теоретического экзамена. Прохождение специального обучения не требуется. Для остальных граждан правила замены водительских удостоверений зависят от категорий транспортных средств, право на управление которыми они подтверждают. Согласно нововведениям замена иностранных водительских удостоверений, предоставляющих право управления мототехникой и легковыми автомобилями, осуществляется после успешной сдачи теоретического экзамена без прохождения профессионального обучения. Для получения российских водительских удостоверений на основании иностранных прав лицам, претендующим на управление грузовиками, автобусами и связанными с ними категориями и подкатегориями, необходимо пройти обучение в специализированной образовательной организации, имеющей заключение о соответствии учебно-материальной базы установленным требованиям, после чего сдать теоретический и практический экзамены.</w:t>
      </w:r>
    </w:p>
    <w:p>
      <w:pPr>
        <w:pStyle w:val="BodyText"/>
      </w:pPr>
      <w:r>
        <w:t xml:space="preserve">2. Особенности назначения наказания в виде принудительных работ Согласно ч. 1 ст. 53.1 УК РФ принудительные работы применяются только как альтернатива лишению свободы в случаях, предусмотренных соответствующими статьями Особенной части Уголовного кодекса Российской Федерации, за совершение преступления небольшой или средней тяжести либо за совершение тяжкого преступления впервые. Если, назначив наказание в виде лишения свободы на срок до пяти лет,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работами. При этом суд принимает во внимание данные о личности подсудимого, а также иные обстоятельства, влияющие на достижение целей наказания. Принудительные работы назначаются на срок от двух месяцев до пяти лет. Из заработной платы осужденного к принудительным работам производятся удержания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военнослужащим. При замене лишения свободы принудительными работами дополнительное наказание, предусмотренное к лишению свободы, в том числе и в качестве обязательного не назначается.</w:t>
      </w:r>
    </w:p>
    <w:bookmarkEnd w:id="22"/>
    <w:bookmarkEnd w:id="23"/>
    <w:bookmarkStart w:id="25" w:name="dpage_2_h"/>
    <w:bookmarkStart w:id="24" w:name="pagecontainer_2"/>
    <w:p>
      <w:pPr>
        <w:pStyle w:val="BodyText"/>
      </w:pPr>
      <w:r>
        <w:t xml:space="preserve">Заменив лишение свободы принудительными работами, суд должен решить вопрос о назначении дополнительного наказания к принудительным работам. Если виновным совершено два или более преступлений, то применение принудительных работ как альтернативы лишению свободы применяется за совершение каждого преступления, а не при определении окончательного наказания по совокупности преступлений. При назначении наказания по совокупности преступлений в данном случае сложению подлежат только сроки принудительных работ, проценты удержаний из заработной платы не складываются. При исчислении сроков погашения судимости в отношении указанной категории осужденных, необходимо руководствоваться положениями п. «б» ч. 3 ст. 86 УК РФ о погашении судимости по истечении одного года после отбытия наказания. 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неотбытая часть наказания заменяется лишением свободы из расчета один день лишения свободы за один день принудительных работ.</w:t>
      </w:r>
    </w:p>
    <w:p>
      <w:pPr>
        <w:pStyle w:val="BodyText"/>
      </w:pPr>
      <w:r>
        <w:t xml:space="preserve">3. Об ответственности за незаконное осуществление деятельности по предоставлению потребительских кредитов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является административным правонарушением (статья 14.56 КоАП РФ). Наказание предусмотрено для должностных лиц, индивидуальных предпринимателей и юридических лиц в виде административного штрафа. Возможно также и административное приостановление деятельности на срок до 15 суток. Повторное совершение этого административного правонарушения (при отсутствии признаков уголовно наказуемого деяния), влечет повышенную ответственность. Размер административного штрафа в этом случае составит от 50 тысяч до 200 тысяч рублей для должностных лиц и лиц, осуществляющих предпринимательскую деятельность без образования юридического лица, и от 500 тысяч до 2 млн. рублей - для юридических лиц. Административное приостановление деятельности возможно на срок до 60 суток.</w:t>
      </w:r>
    </w:p>
    <w:p>
      <w:pPr>
        <w:pStyle w:val="BodyText"/>
      </w:pPr>
      <w:r>
        <w:t xml:space="preserve">4. Об уголовной ответственности за вандализм Статьей 214 Уголовного кодекса РФ предусмотрена уголовная ответственность за вандализм.</w:t>
      </w:r>
    </w:p>
    <w:bookmarkEnd w:id="24"/>
    <w:bookmarkEnd w:id="25"/>
    <w:bookmarkStart w:id="27" w:name="dpage_3_h"/>
    <w:bookmarkStart w:id="26" w:name="pagecontainer_3"/>
    <w:p>
      <w:pPr>
        <w:pStyle w:val="BodyText"/>
      </w:pPr>
      <w:r>
        <w:t xml:space="preserve">Осквернение зданий или иных сооружений, порча имущества на общественном транспорте или в иных общественных местах является преступлением. Ответственность за это преступление наступает с 14 лет. Виновному лицу грозит штраф в размере до 40 тысяч рублей или в размере заработной платы или иного дохода осужденного за период до трех месяцев. Возможно назначение обязательных работ на срок до 360 часов, либо исправительных работ на срок до 1 года, либо ареста на срок до трех месяцев. Максимальное наказание в виде лишения свободы на срок до 3 лет может быть назначено за совершение указанного преступления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 либо социальной группы.</w:t>
      </w:r>
    </w:p>
    <w:p>
      <w:pPr>
        <w:pStyle w:val="BodyText"/>
      </w:pPr>
      <w:r>
        <w:t xml:space="preserve">5. Особенности привлечения несовершеннолетних к административной ответственности Несовершеннолетний является особым субъектом административной ответственности, так как производство по делам об административных правонарушениях в отношении несовершеннолетних имеет существенные особенности. Положениями ст. 2.3 Кодекса Российской Федерации об административных правонарушениях (далее - КоАП РФ, Кодекс) предусмотрено, что административной ответственности подлежит лицо, достигшее к моменту совершения административного правонарушения возраста 16 лет. Несовершеннолетний, являясь субъектом административных правоотношений, подлежит административной ответственности за нарушение требований следующих статьей Кодекса: -ст. 5.38 КоАП РФ(воспрепятствование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-ст. 20.1 КоАЛ РФ (мелкое хулиганство); -ст. 20.2 КодП РФ (нарушение установленного порядка организации либо проведения собрания, митинга, демонстрации, шествия или пикетирования); -ст. 20.2.2 КоАП РФ (организация массового одновременного пребывания и (или) передвижения граждан в общественных местах, повлекших нарушение общественного порядка); -ст. 20.3.2 КодП РФ (публичные призывы к осуществлению действий, направленных на нарушение территориальной целостности Российской Федерации); -ст. 6.9 КоАП РФ (потребление наркотических средств или психотропных веществ без назначения врача либо новых потенциально опасных психоактивных веществ); -ст. 20.20 КоАП РФ (распитие алкогольной и спиртосодержащей продукции);</w:t>
      </w:r>
    </w:p>
    <w:bookmarkEnd w:id="26"/>
    <w:bookmarkEnd w:id="27"/>
    <w:bookmarkStart w:id="29" w:name="dpage_4_h"/>
    <w:bookmarkStart w:id="28" w:name="pagecontainer_4"/>
    <w:p>
      <w:pPr>
        <w:pStyle w:val="BodyText"/>
      </w:pPr>
      <w:r>
        <w:t xml:space="preserve">-ст. 20.21 КоАП РФ (появление в общественных местах в состоянии опьянения, оскорбляющем человеческое достоинство и общественную нравственность); -ст. 20.22 КоАП РФ (появление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 -ст. 19.15 КоАП РФ (проживание гражданина Российской Федерации без удостоверения личности гражданина (паспорта). В соответствии со ст. 23.2 КоАП РФ органом, уполномоченным рассматривать дела об административных правонарушениях, совершенных несовершеннолетними, являются комиссии по делам несовершеннолетних и защите их прав (далее - КДНиЗП) по месту жительства несовершеннолетнего. В соответствии с ч. 2 ст. 25.1 КоАП РФ дело об административном правонарушении рассматривается с участием несовершеннолетнего, в отношении которого ведется производство по делу об административном правонарушении и по общему правилу - с участием его законных представителей. Родитель, явившийся в заседание КДНиЗП для защиты интересов несовершеннолетнего, должен иметь при себе документы, удостоверяющие его личность, а также не должен быть лишен родительских прав или ограничен в родительских правах. Опекуны или попечители несовершеннолетнего, представляющие интересы несовершеннолетнего, должны иметь соответствующие документы, подтверждающие, что они таковыми являются. КДНиЗП может принять решение об удалении несовершеннолетнего, в отношении которого ведется дело, на время рассмотрения обстоятельств дела, обсуждение которых может оказать на него отрицательное влияние (ч. 4 ст. 25.1 КоАП РФ). Не все административные наказания, которые предусмотрены Кодексом для совершеннолетних правонарушителей, могут применяться к несовершеннолетним: Так, к подросткам, совершившим административное правонарушение, не может применяться административный арест. Решая вопрос о привлечении несовершеннолетнего к административной ответственности в виде штрафа, КДНиЗП должна выяснить, есть ли у него самостоятельный заработок, так как при отсутствии у несовершеннолетнего самостоятельного заработка штраф взыскивается с его родителей (законных представителей).</w:t>
      </w:r>
    </w:p>
    <w:p>
      <w:pPr>
        <w:pStyle w:val="BodyText"/>
      </w:pPr>
      <w:r>
        <w:t xml:space="preserve">6. О материальной ответственности работодателя за задержку выплат, причитающихся работнику Статья 236 Трудового кодекса РФ закреплена норма о материальной ответственности работодателя за задержку выплаты заработной платы и других выплат, причитающихся работнику. Федеральным законом от 30.01.2024 № 3-ФЗ в часть первую статьи 236 Трудового кодекса РФ внесено изменение, согласно которому проценты (денежная</w:t>
      </w:r>
    </w:p>
    <w:bookmarkEnd w:id="28"/>
    <w:bookmarkEnd w:id="29"/>
    <w:bookmarkStart w:id="31" w:name="dpage_5_h"/>
    <w:bookmarkStart w:id="30" w:name="pagecontainer_5"/>
    <w:p>
      <w:pPr>
        <w:pStyle w:val="BodyText"/>
      </w:pPr>
      <w:r>
        <w:t xml:space="preserve">компенсация) подлежат взысканию с работодателя и в том случае, когда причитающиеся работнику выплаты не были начислены своевременно, а решением суда было признано право работника на их получение. При нарушении работодателем установленного срока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Центробанка России от начисленных, но не выплаченных в срок сумм,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по день фактического расчета включительно. При неполной выплате в установленный срок заработной платы 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pPr>
        <w:pStyle w:val="BodyText"/>
      </w:pPr>
      <w:r>
        <w:t xml:space="preserve">7. Врачебная тайна и ответственность за ее разглашение Федеральным законом от 21.11.2011 № 323-ФЗ «Об основах охраны здоровья граждан в Российской Федерации» (далее — Закон) определено, что соблюдение врачебной тайны одним из основных принципов охраны здоровья. Статьей 13 Закона установлено, что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 Лица, которым в силу исполнения ими трудовых, должностных, служебных и иных обязанностей, обучения стало известно о таких сведениях, их разглашение не допускается. Из названного правила имеется ряд исключений: -случаи, когда предоставление таких сведений возможно без согласия гражданина в целях проведения медицинского обследования и лечения гражданина, который в результате своего состояния не способен выразить свою волю; -при угрозе распространения инфекционных заболеваний, массовых отравлений и поражений; -по запросу следственных и судебных органов, органов прокуратуры; -в случае оказания наркологической медицинской помощи или медицинского освидетельствования несовершеннолетнему, а также лицу, не достигшему возраста 15 лет, для информирования одного из его родителей;</w:t>
      </w:r>
    </w:p>
    <w:bookmarkEnd w:id="30"/>
    <w:bookmarkEnd w:id="31"/>
    <w:bookmarkStart w:id="33" w:name="dpage_6_h"/>
    <w:bookmarkStart w:id="32" w:name="pagecontainer_6"/>
    <w:p>
      <w:pPr>
        <w:pStyle w:val="BodyText"/>
      </w:pPr>
      <w:r>
        <w:t xml:space="preserve">-в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 -в целях проведения военно-врачебной экспертизы по запросам военных комиссариатов;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ряд иных случаев. В то же время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но только с письменного согласия гражданина или его законного представителя. Нарушение норм, установленных Законом, может повлечь за собой дисциплинарную, а также административную ответственность по ст.13.14 КоАП РФ, предусматривающей административное наказание за разглашение информации, доступ к которой ограничен федеральным законом, лицом, получившим доступ к такой информации в связи с исполнением служебных или профессиональных обязанностей. Нарушение установленного законом порядка сбора, хранения, использования или распространения информации о гражданах (персональных данных) образует состав административного правонарушения, предусмотренного ст.13.11 КоАП РФ. Также при нарушении такого запрета у гражданина возникает право на обращение в суд с заявлением о возмещении материального и морального вреда, причиненного разглашением сведений, составляющих врачебную тайну.</w:t>
      </w:r>
    </w:p>
    <w:p>
      <w:pPr>
        <w:pStyle w:val="BodyText"/>
      </w:pPr>
      <w:r>
        <w:t xml:space="preserve">8. О введении новой статьи в Кодекс Российской Федерации об административных правонарушениях С 01.03.2024 года вступит в силу статья 8.55 Кодекса об административных правонарушениях Российской Федерации. В соответствии с данной статьей, должностное лицо может быть привлечено к административной ответственности в виде штрафа за не передачу в Росприроднадзор сведений об отнесении опасных производственных объектов к отдельным таким объектам. Размер штрафа для должностных лиц составит от 50 тыс. до 100 тыс. рублей, для индивидуальных предпринимателей - от 100 тыс. до 200 тыс. рублей, а для юридических лиц - от 200 тыс. до 500 тыс. рублей. Кроме того, административная ответственность также наступит за несвоевременную передачу информации в Росприроднадзор. Однако, если здание или сооружение было введено в эксплуатацию до 01.09.2023 года, ответственность не будет возникать.</w:t>
      </w:r>
    </w:p>
    <w:p>
      <w:pPr>
        <w:pStyle w:val="BodyText"/>
      </w:pPr>
      <w:r>
        <w:t xml:space="preserve">9. Об оказании медицинской помощи без согласия пациента С 5 января 2024 года экстренная скорая помощь может быть оказана без согласия пациента. Согласно изменениям, внесенным Федеральным законом от 25.12.2023 № 678-ФЗ, в статью 20 Федерального закона «Об основах охраны здоровья граждан в Российской Федерации», установлено, что скорая медицинская помощь может быть оказана без согласия на медицинское вмешательство, если она проводится вне медицинской организации и необходима для спасения человеческой жизни. При этом отсутствие выраженного до начала медицинского вмешательства отказа гражданина (или его законного представителя) рассматривается как согласие на оказание медицинской помощи. Изменения вступили в силу с 5 января 2024 года.</w:t>
      </w:r>
    </w:p>
    <w:p>
      <w:pPr>
        <w:pStyle w:val="BodyText"/>
      </w:pPr>
      <w:r>
        <w:t xml:space="preserve">10. С 1 сентября 2024 г вступят в силу изменения в национальный календарь прививок Приказом Минздрава России от 12.12.2023 М 677н внесены изменения в приказ Министерства здравоохранения Российской Федерации от 6 декабря 2021 г. М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которые вступаю в силу с 01.09.2024. Согласно изменениям обязательной вакцинации против коронавирусной инфекции, вызываемой вирусом ЗАВ$-Со\У-2, будут подлежать следующие категории граждан: - лица старше 18 лет, ранее не болевшие и/или не привитые против коронавирусной инфекции, вызываемой вирусом ЗАК $5-Со\У-2; - лица в возрасте 60 лет и старше; - лица с хроническими заболеваниями, в том числе с заболеваниями бронхолегочной системы, туберкулезом, сердечно-сосудистыми заболеваниями, сахарным диабетом и ожирением; - лица с первичными или вторичными иммунодефицитами, в том числе ВИЧ- инфекцией, аутоиммунными заболеваниями, онкологическими /онкогематологическими заболеваниями.</w:t>
      </w:r>
    </w:p>
    <w:p>
      <w:pPr>
        <w:pStyle w:val="BodyText"/>
      </w:pPr>
      <w:r>
        <w:t xml:space="preserve">11. Ответственность за порчу памятников культуры Статьей 243 Уголовного кодекса Российской Федерации установлена уголовная ответственность за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 Данной нормой закона предусмотрена повышенная ответственность за те же деяния,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заповедников или музеев- 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археологического наследия.</w:t>
      </w:r>
    </w:p>
    <w:bookmarkEnd w:id="32"/>
    <w:bookmarkEnd w:id="33"/>
    <w:bookmarkStart w:id="35" w:name="dpage_7_h"/>
    <w:bookmarkStart w:id="34" w:name="pagecontainer_7"/>
    <w:bookmarkEnd w:id="34"/>
    <w:bookmarkEnd w:id="35"/>
    <w:bookmarkStart w:id="37" w:name="dpage_8_h"/>
    <w:bookmarkStart w:id="36" w:name="pagecontainer_8"/>
    <w:p>
      <w:pPr>
        <w:pStyle w:val="BodyText"/>
      </w:pPr>
      <w:r>
        <w:t xml:space="preserve">За совершение данного преступления предусмотрено наказание в виде лишения свободы вплоть до шести лет.</w:t>
      </w:r>
    </w:p>
    <w:p>
      <w:pPr>
        <w:pStyle w:val="BodyText"/>
      </w:pPr>
      <w:r>
        <w:t xml:space="preserve">12. Граждане, пострадавшие от мошеннических действий, имеют право взыскать в суде неосновательное обогащение Как правило, переводы денежных средств в рамках мошеннических схем отправляются на банковские карты, оформленные на подставных лиц. Мошенники не используют собственные данные. В силу требований пункта | статьи 845 Гражданского кодекса Российской Федерации (далее — ГК РФ)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иных операций по счету. Списание денежных средств со счета осуществляется банком на основании распоряжения клиента. Правовое регулирование электронных средств платежа осуществляется в соответствии с Федеральным законом от 27.06.2011 № 161-ФЗ «О национальной платежной системе». По правилам выпуска и обслуживания банковских карт, карта является собственностью банка и дается владельцу во временное пользование. Передача карты в руки третьих лиц и предоставление сведений о ПИН-кодах категорически запрещены условиями договора, заключенного между банком и клиентом. Персональную ответственность по операциям с картой несет владелец карты. Таким образом, при передаче банковской карты третьему лицу все негативные последствия по совершенным банковским операциям возложены на лицо, на чье имя выдана банковская карта. При поступлении денежных средств на карту третье лицо, как правило, за вознаграждение переводит деньги мошенникам либо дает согласие и предоставляет им возможность распоряжаться его счетом. Следовательно, на владельцах карты лежит ответственность за все неблагоприятные последствия совершенных действий. В настоящее время сформировалась судебная практика по взысканию на основании исков граждан неосновательного обогащения с непосредственных владельцев счетов, на которые перечисляются денежные средства в таких случаях. В силу пункта 1 статьи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По смыслу указанной нормы, для подтверждения факта возникновения обязательства из неосновательного обогащения должна быть установлена совокупность следующих обстоятельств: сбережение имущества (неосновательное обогащение) на стороне приобретателя; возникновение убытков на стороне потерпевшего, являющихся источником обогащения приобретателя (обогащение за счет потерпевшего); отсутствие надлежащего правового основания для наступления указанных имущественных последствий.</w:t>
      </w:r>
    </w:p>
    <w:bookmarkEnd w:id="36"/>
    <w:bookmarkEnd w:id="37"/>
    <w:bookmarkStart w:id="39" w:name="dpage_9_h"/>
    <w:bookmarkStart w:id="38" w:name="pagecontainer_9"/>
    <w:p>
      <w:pPr>
        <w:pStyle w:val="BodyText"/>
      </w:pPr>
      <w:r>
        <w:t xml:space="preserve">Таким образом, граждане, пострадавшие от мошеннических действий, имеют право обратиться в суд с иском к владельцам банковского счета, банковской карты о взыскании неосновательного обогащения. Кроме того, прокурор может обратиться в суд с иском в порядке гражданского судопроизводства в случае, если потерпевший по состоянию здоровья, возрасту, недееспособности и другим уважительным причинам не может сделать этого самостоятельно.</w:t>
      </w:r>
    </w:p>
    <w:p>
      <w:pPr>
        <w:pStyle w:val="BodyText"/>
      </w:pPr>
      <w:r>
        <w:t xml:space="preserve">13. Материнский капитал теперь можно направлять на реконструкцию жилого дома блокированной застройки Федеральным законом от 25.12.2023 № 682-ФЗ "О внесении изменений в статью 10 Федерального закона "О дополнительных мерах государственной поддержки семей, имеющих детей" часть средств материнского капитала разрешено направлять на реконструкцию жилого дома блокированной застройки. Согласно внесенным изменениям средства в сумме, не превышающей 50% размера средств материнского (семейного) капитала, может быть выдана владельцу сертификата на строительство (реконструкцию) объекта индивидуального жилищного строительства, а теперь также и на реконструкцию дома блокированной застройки на основании сведений, указанных в части 1.1 статьи 10 Закона "О дополнительных мерах государственной поддержки семей, имеющих детей". Закон принят в целях исполнения Постановления Конституционного Суда Российской Федерации от 21.12.2022 № 56-П.</w:t>
      </w:r>
    </w:p>
    <w:bookmarkEnd w:id="38"/>
    <w:bookmarkEnd w:id="39"/>
    <w:p>
      <w:pPr>
        <w:pStyle w:val="BodyText"/>
      </w:pPr>
      <w:r>
        <w:br/>
      </w:r>
    </w:p>
    <w:p>
      <w:pPr>
        <w:pStyle w:val="BodyText"/>
      </w:pPr>
      <w:r>
        <w:t xml:space="preserve">Адрес страницы:</w:t>
      </w:r>
      <w:r>
        <w:t xml:space="preserve"> </w:t>
      </w:r>
      <w:hyperlink r:id="rId40">
        <w:r>
          <w:rPr>
            <w:rStyle w:val="Hyperlink"/>
          </w:rPr>
          <w:t xml:space="preserve">http://uzao.mos.ru/nash-okrug/prokuror-razyasnyaet/detail/12208859.html</w:t>
        </w:r>
      </w:hyperlink>
    </w:p>
    <w:p>
      <w:pPr>
        <w:pStyle w:val="BodyText"/>
      </w:pPr>
      <w:hyperlink r:id="rId41">
        <w:r>
          <w:rPr>
            <w:rStyle w:val="Hyperlink"/>
          </w:rPr>
          <w:t xml:space="preserve">Префектура Юго-Западного административного округа города Москвы</w:t>
        </w:r>
      </w:hyperlink>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1" Target="http://uzao.mos.ru" TargetMode="External" /><Relationship Type="http://schemas.openxmlformats.org/officeDocument/2006/relationships/hyperlink" Id="rId40" Target="http://uzao.mos.ru/nash-okrug/prokuror-razyasnyaet/detail/12208859.html" TargetMode="External" /></Relationships>
</file>

<file path=word/_rels/footnotes.xml.rels><?xml version="1.0" encoding="UTF-8"?><Relationships xmlns="http://schemas.openxmlformats.org/package/2006/relationships"><Relationship Type="http://schemas.openxmlformats.org/officeDocument/2006/relationships/hyperlink" Id="rId41" Target="http://uzao.mos.ru" TargetMode="External" /><Relationship Type="http://schemas.openxmlformats.org/officeDocument/2006/relationships/hyperlink" Id="rId40" Target="http://uzao.mos.ru/nash-okrug/prokuror-razyasnyaet/detail/122088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2025-01-17T18:55:01Z</dcterms:created>
  <dcterms:modified xsi:type="dcterms:W3CDTF">2025-01-17T18:55:01Z</dcterms:modified>
</cp:coreProperties>
</file>

<file path=docProps/custom.xml><?xml version="1.0" encoding="utf-8"?>
<Properties xmlns="http://schemas.openxmlformats.org/officeDocument/2006/custom-properties" xmlns:vt="http://schemas.openxmlformats.org/officeDocument/2006/docPropsVTypes"/>
</file>