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прокурор-юзао-г.-моcквы-разъясняет"/>
    <w:p>
      <w:pPr>
        <w:pStyle w:val="Heading3"/>
      </w:pPr>
      <w:r>
        <w:t xml:space="preserve">Прокурор ЮЗАО г. Моcквы разъясняет</w:t>
      </w:r>
    </w:p>
    <w:p>
      <w:pPr>
        <w:pStyle w:val="FirstParagraph"/>
      </w:pPr>
      <w:r>
        <w:t xml:space="preserve">08.02.2024</w:t>
      </w:r>
    </w:p>
    <w:p>
      <w:pPr>
        <w:pStyle w:val="BodyText"/>
      </w:pPr>
      <w:r>
        <w:t xml:space="preserve">1. Введена уголовная ответственность за передачу средств мобильной связи лицу, содержащемуся в учреждении уголовно-исполнительной системы или месте содержания под стражей.</w:t>
      </w:r>
    </w:p>
    <w:p>
      <w:pPr>
        <w:pStyle w:val="BodyText"/>
      </w:pPr>
      <w:r>
        <w:t xml:space="preserve">Федеральным законом от 19.12.2023 №597-ФЗ в Уголовный кодекс Российской Федерации введена статья 321.1 - Передача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лицом, подвергнутым административному наказанию или имеющим судимость.</w:t>
      </w:r>
    </w:p>
    <w:p>
      <w:pPr>
        <w:pStyle w:val="BodyText"/>
      </w:pPr>
      <w:r>
        <w:t xml:space="preserve">В соответствии со ст. 321.1 УК РФ признаётся преступлением передача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совершенная лицом, подвергнутым административному наказанию за деяние, предусмотренное частью 2 статьи 19.12 Кодекса Российской Федерации об административных правонарушениях, или имеющим судимость за совершение преступления, предусмотренного настоящей статьей.</w:t>
      </w:r>
    </w:p>
    <w:p>
      <w:pPr>
        <w:pStyle w:val="BodyText"/>
      </w:pPr>
      <w:r>
        <w:t xml:space="preserve">Уголовная ответственность по настоящей статье введена с использованием механизма административной преюдиции – лицо не может быть привлечено к уголовной ответственности по ст. 321.1 УК РФ если оно не считается подвергнутым административному наказанию за совершение административного правонарушения, предусмотренного ч. 2 ст. 19.12 КоАП РФ. К уголовной ответственности по рассматриваемой статье также может быть привлечено лицо, которое имеет судимость за совершение преступления по ст. 321.1 УК РФ.</w:t>
      </w:r>
    </w:p>
    <w:p>
      <w:pPr>
        <w:pStyle w:val="BodyText"/>
      </w:pPr>
      <w:r>
        <w:t xml:space="preserve">Свершение преступления, предусмотренного ст. 321.1 УК РФ, наказывается:</w:t>
      </w:r>
    </w:p>
    <w:p>
      <w:pPr>
        <w:pStyle w:val="BodyText"/>
      </w:pPr>
      <w:r>
        <w:t xml:space="preserve">· штрафом в размере от ста тысяч до трехсот тысяч рублей или в размере заработной платы или иного дохода осужденного за период от одного года до двух лет,</w:t>
      </w:r>
    </w:p>
    <w:p>
      <w:pPr>
        <w:pStyle w:val="BodyText"/>
      </w:pPr>
      <w:r>
        <w:t xml:space="preserve">· либо принудительными работами на срок до двух лет,</w:t>
      </w:r>
    </w:p>
    <w:p>
      <w:pPr>
        <w:pStyle w:val="BodyText"/>
      </w:pPr>
      <w:r>
        <w:t xml:space="preserve">· либо лишением свободы на срок до двух лет.</w:t>
      </w:r>
    </w:p>
    <w:p>
      <w:pPr>
        <w:pStyle w:val="BodyText"/>
      </w:pPr>
      <w:r>
        <w:t xml:space="preserve">2. Минпросвещения России утвердило новый порядок, условия выдачи «золотых» и «серебряных» медалей «За особые успехи в учении».</w:t>
      </w:r>
    </w:p>
    <w:p>
      <w:pPr>
        <w:pStyle w:val="BodyText"/>
      </w:pPr>
      <w:r>
        <w:t xml:space="preserve">Приказом Министерства просвещения Российской Федерации от 29.09.2023 №730 утверждены новые Порядок и условия выдачи медалей «За особые успехи в учении» I и II степеней. В соответствии с новым Порядком для медалей «За особые успехи в учении» введены две степени: первая (т.н. «золотая медаль») и вторая (т.н. «серебряная медаль»). Ранее выдача «серебряных медалей» не была предусмотрена.</w:t>
      </w:r>
    </w:p>
    <w:p>
      <w:pPr>
        <w:pStyle w:val="BodyText"/>
      </w:pPr>
      <w:r>
        <w:t xml:space="preserve">Получить медаль «За особые успехи в учении» I степени может выпускник школы, имеющий итоговые оценки «отлично» по всем учебным предметам, набравший не менее 70 баллов на едином государственном экзамене (далее – ЕГЭ) по предмету «Русский язык» и не менее 70 баллов ЕГЭ по одному из сдаваемых предметов, либо 5 баллов за сдачу ЕГЭ по предмету «Математика» базового уровня (при сдаче только предметов «Русский язык» и «Математика» базового уровня).</w:t>
      </w:r>
    </w:p>
    <w:p>
      <w:pPr>
        <w:pStyle w:val="BodyText"/>
      </w:pPr>
      <w:r>
        <w:t xml:space="preserve">Получить медаль «За особые успехи в учении» II степени может выпускник школы, имеющий итоговые оценки «отлично» и не более двух итоговых оценок «хорошо», набравший не менее 60 баллов ЕГЭ по предмету «Русский язык» и не менее 60 баллов по одному из сдаваемых учебных предметов, либо 5 балов за сдачу ЕГЭ по предмету «Математика» базового уровня (при сдаче только предметов «Русский язык» и «Математика» базового уровня).</w:t>
      </w:r>
    </w:p>
    <w:p>
      <w:pPr>
        <w:pStyle w:val="BodyText"/>
      </w:pPr>
      <w:r>
        <w:t xml:space="preserve">Первые медали «За особые успехи в учении» согласно новому порядку выпускники школ смогут получить в 2024 году.</w:t>
      </w:r>
    </w:p>
    <w:p>
      <w:pPr>
        <w:pStyle w:val="BodyText"/>
      </w:pPr>
      <w:r>
        <w:t xml:space="preserve">3. Увеличена верхняя граница возраста для прохождения военной службы по призыву с 27 до 30 лет.</w:t>
      </w:r>
    </w:p>
    <w:p>
      <w:pPr>
        <w:pStyle w:val="BodyText"/>
      </w:pPr>
      <w:r>
        <w:t xml:space="preserve">В соответствии с Федеральным законом «О внесении изменений в отдельные законодательные акты Российской Федерации» от 04.08.2023 №439-ФЗ в законодательство о воинской обязанности и военной службе вносятся изменения, вступающие в силу 01 января 2024 года.</w:t>
      </w:r>
    </w:p>
    <w:p>
      <w:pPr>
        <w:pStyle w:val="BodyText"/>
      </w:pPr>
      <w:r>
        <w:t xml:space="preserve">Так, верхняя граница возраста гражданина Российской Федерации мужского пола для прохождения военной службы по призыву увеличена с 27 лет до 30 лет. При этом минимальный возраст призыва на военную службу остался прежним – 18 лет.</w:t>
      </w:r>
    </w:p>
    <w:p>
      <w:pPr>
        <w:pStyle w:val="BodyText"/>
      </w:pPr>
      <w:r>
        <w:t xml:space="preserve">Рассматриваемым законом также внесены изменения в законодательство об альтернативной гражданской службе. Так, при наличии предусмотренных законом оснований, заменить прохождение военной службы по призыву на альтернативную гражданскую службу могут граждане Российской Федерации мужского пола в возрасте от 18 до 30 лет.</w:t>
      </w:r>
    </w:p>
    <w:p>
      <w:pPr>
        <w:pStyle w:val="BodyText"/>
      </w:pPr>
      <w:r>
        <w:t xml:space="preserve">4. Расширен перечень обязанностей обучающихся – введён запрет на использование мобильных телефонов на уроках в начальной и средней школе.</w:t>
      </w:r>
    </w:p>
    <w:p>
      <w:pPr>
        <w:pStyle w:val="BodyText"/>
      </w:pPr>
      <w:r>
        <w:t xml:space="preserve">В соответствии с ч. 1 ст. 43 Федерального закона от 29.12.2012 №273-ФЗ «Об образовании в Российской Федерации» обучающиеся обязаны:</w:t>
      </w:r>
    </w:p>
    <w:p>
      <w:pPr>
        <w:pStyle w:val="BodyText"/>
      </w:pPr>
      <w: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pStyle w:val="BodyText"/>
      </w:pPr>
      <w:r>
        <w:t xml:space="preserve">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pPr>
        <w:pStyle w:val="BodyText"/>
      </w:pPr>
      <w:r>
        <w:t xml:space="preserve">3) заботиться о сохранении и об укреплении своего здоровья, стремиться к нравственному, духовному и физическому развитию и самосовершенствованию;</w:t>
      </w:r>
    </w:p>
    <w:p>
      <w:pPr>
        <w:pStyle w:val="BodyText"/>
      </w:pPr>
      <w:r>
        <w:t xml:space="preserve">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pPr>
        <w:pStyle w:val="BodyText"/>
      </w:pPr>
      <w:r>
        <w:t xml:space="preserve">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pPr>
        <w:pStyle w:val="BodyText"/>
      </w:pPr>
      <w:r>
        <w:t xml:space="preserve">5) бережно относиться к имуществу организации, осуществляющей образовательную деятельность, поддерживать в ней чистоту и порядок;</w:t>
      </w:r>
    </w:p>
    <w:p>
      <w:pPr>
        <w:pStyle w:val="BodyText"/>
      </w:pPr>
      <w:r>
        <w:t xml:space="preserve">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pPr>
        <w:pStyle w:val="BodyText"/>
      </w:pPr>
      <w:r>
        <w:t xml:space="preserve">Обязанность, предусмотренная п. 4.1 ч. 1 ст. 43 рассматриваемого Федерального закона, распространяется на учеников начальной и средней школы. Во время уроков им запрещается использовать мобильные телефоны. Исключение составляют экстренные ситуации – например, когда жизни или здоровью ученика или учителя угрожает опасность.</w:t>
      </w:r>
    </w:p>
    <w:p>
      <w:pPr>
        <w:pStyle w:val="BodyText"/>
      </w:pPr>
      <w:r>
        <w:t xml:space="preserve">5. Изменены правила выдачи материнского (семейного) капитала</w:t>
      </w:r>
    </w:p>
    <w:p>
      <w:pPr>
        <w:pStyle w:val="BodyText"/>
      </w:pPr>
      <w:r>
        <w:t xml:space="preserve">С 1 января 2024 года в силу вступили изменения в ст. 3 Федерального закона от 29 декабря 2006 года № 256-ФЗ «О дополнительных мерах государственной поддержки семей, имеющих детей».</w:t>
      </w:r>
    </w:p>
    <w:p>
      <w:pPr>
        <w:pStyle w:val="BodyText"/>
      </w:pPr>
      <w:r>
        <w:t xml:space="preserve">В соответствии с этими изменениями, на получение государственного сертификата на материнский (семейный) капитал могут претендовать лица, указанные в ч. 1 ст. 3 рассматриваемого закона, при условии рождения (усыновления) ребенка (детей), приобретшего (приобретших) гражданство Российской Федерации по рождению.</w:t>
      </w:r>
    </w:p>
    <w:p>
      <w:pPr>
        <w:pStyle w:val="BodyText"/>
      </w:pPr>
      <w:r>
        <w:t xml:space="preserve">Родители ребёнка, независимо от места их жительства, должны иметь гражданство Российской Федерации на день рождения ребенка.</w:t>
      </w:r>
    </w:p>
    <w:p>
      <w:pPr>
        <w:pStyle w:val="BodyText"/>
      </w:pPr>
      <w:r>
        <w:t xml:space="preserve">Общее правило приобретения ребёнком гражданства Российской Федерации установлено в ч. 1 ст. 13 Федерального закона от 28.04.2023 №138-ФЗ «О гражданстве Российской Федерации. В соответствии с данной статьей ребёнок приобретает гражданство Российской Федерации по рождению, если на день его рождения:</w:t>
      </w:r>
    </w:p>
    <w:p>
      <w:pPr>
        <w:pStyle w:val="BodyText"/>
      </w:pPr>
      <w:r>
        <w:t xml:space="preserve">1) оба его родителя или единственный родитель имеют гражданство Российской Федерации;</w:t>
      </w:r>
    </w:p>
    <w:p>
      <w:pPr>
        <w:pStyle w:val="BodyText"/>
      </w:pPr>
      <w:r>
        <w:t xml:space="preserve">2) один из его родителей имеет гражданство Российской Федерации, а другой родитель является лицом без гражданства;</w:t>
      </w:r>
    </w:p>
    <w:p>
      <w:pPr>
        <w:pStyle w:val="BodyText"/>
      </w:pPr>
      <w:r>
        <w:t xml:space="preserve">3) один из его родителей имеет гражданство Российской Федерации, а другой родитель является иностранным гражданином (при условии, что ребенок родился в Российской Федерации);</w:t>
      </w:r>
    </w:p>
    <w:p>
      <w:pPr>
        <w:pStyle w:val="BodyText"/>
      </w:pPr>
      <w:r>
        <w:t xml:space="preserve">4) один из его родителей имеет гражданство Российской Федерации, а другой родитель является иностранным гражданином (при условии, что ребенок родился за пределами Российской Федерации и не приобрел гражданство (подданство) иностранного государства по рождению);</w:t>
      </w:r>
    </w:p>
    <w:p>
      <w:pPr>
        <w:pStyle w:val="BodyText"/>
      </w:pPr>
      <w:r>
        <w:t xml:space="preserve">5) оба его родителя или единственный родитель являются иностранными гражданами или лицами без гражданства, постоянно проживающими в Российской Федерации (при условии, что ребенок родился в Российской Федерации и не приобрел гражданство (подданство) иностранного государства по рождению).</w:t>
      </w:r>
    </w:p>
    <w:p>
      <w:pPr>
        <w:pStyle w:val="BodyText"/>
      </w:pPr>
      <w:r>
        <w:t xml:space="preserve">Рассматриваемые изменения правил выдачи государственных сертификатов на материнский (семейный) капитал не распространяются на граждан Российской Федерации, не имевших гражданства Российской Федерации и постоянно проживавших на территориях Донецкой Народной Республики, Луганской Народной Республики, Запорожской области и Херсонской области на день рождения (усыновления) ребенка (детей) по состоянию на день принятия в Российскую Федерацию указанных республик и областей и образования в составе Российской Федерации новых субъектов - Донецкой Народной Республики, Луганской Народной Республики, Запорожской области и Херсонской области и имеющих право на дополнительные меры государственной поддержки.</w:t>
      </w:r>
    </w:p>
    <w:p>
      <w:pPr>
        <w:pStyle w:val="BodyText"/>
      </w:pPr>
      <w:r>
        <w:t xml:space="preserve">6. Минимальный размер оплаты труда в г. Москве в 2024 году</w:t>
      </w:r>
    </w:p>
    <w:p>
      <w:pPr>
        <w:pStyle w:val="BodyText"/>
      </w:pPr>
      <w:r>
        <w:t xml:space="preserve">В соответствии с ч. 3 ст. 37 Конституции России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pPr>
        <w:pStyle w:val="BodyText"/>
      </w:pPr>
      <w:r>
        <w:t xml:space="preserve">В соответствии с ч. 1 ст. 1 Федерального закона от 19.06.2000 №82-ФЗ</w:t>
      </w:r>
      <w:r>
        <w:br/>
      </w:r>
      <w:r>
        <w:t xml:space="preserve">«О минимальном размере оплаты труда» минимальный размер оплаты труда в Российской Федерации с 1 января 2024 года установлен в размере 19 242 рубля в месяц.</w:t>
      </w:r>
    </w:p>
    <w:p>
      <w:pPr>
        <w:pStyle w:val="BodyText"/>
      </w:pPr>
      <w:r>
        <w:t xml:space="preserve">В соответствии со ст. 133.1 Трудового кодекса Российской Федерации 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 Указанный размер минимальной заработной платы в субъекте Российской Федерации не может быть ниже минимального размера оплаты труда, установленного федеральным законом.</w:t>
      </w:r>
    </w:p>
    <w:p>
      <w:pPr>
        <w:pStyle w:val="BodyText"/>
      </w:pPr>
      <w:r>
        <w:t xml:space="preserve">В соответствии с соглашением о минимальном заработной плате в г. Москве на 2024 год между Правительством Москвы, московским объединением профсоюзов и московским объединением работодателей в г. Москве с 1 января 2024 года установлен минимальный размер заработной платы в размере 29 389 рублей.</w:t>
      </w:r>
    </w:p>
    <w:p>
      <w:pPr>
        <w:pStyle w:val="BodyText"/>
      </w:pPr>
      <w:r>
        <w:t xml:space="preserve">Минимальный размер заработной платы в г. Москве влияет на размер заработной платы сотрудников, которые работают в московских организациях, кроме финансируемых из федерального бюджета.</w:t>
      </w:r>
    </w:p>
    <w:p>
      <w:pPr>
        <w:pStyle w:val="BodyText"/>
      </w:pPr>
      <w:r>
        <w:t xml:space="preserve">7. При угрозе жизни или здоровью пациента бригаде скорой медицинской помощи теперь не требуется его согласие на медицинское вмешательство.</w:t>
      </w:r>
    </w:p>
    <w:p>
      <w:pPr>
        <w:pStyle w:val="BodyText"/>
      </w:pPr>
      <w:r>
        <w:t xml:space="preserve">Согласно ст. 20 Федерального закона «Об основах охраны здоровья граждан в Российской Федерации»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pPr>
        <w:pStyle w:val="BodyText"/>
      </w:pPr>
      <w:r>
        <w:t xml:space="preserve">Медицинское вмешательство без согласия гражданина, одного из родителей или иного законного представителя допускается если медицинское вмешательство необходимо по экстренным показаниям для устранения угрозы жизни человека; в отношении лиц, страдающих тяжелыми психическими расстройствами и заболеваниями, представляющими опасность для окружающих; в отношении лиц, совершивших общественно опасные деяния; при проведении судебно-медицинской экспертизы, судебно-психиатрической экспертизы;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pPr>
        <w:pStyle w:val="BodyText"/>
      </w:pPr>
      <w:r>
        <w:t xml:space="preserve">Федеральным законом от 25.12.2023 № 678-ФЗ внесены дополнения в статью 20 Федерального закона «Об основах охраны здоровья граждан в Российской Федерации», согласно которым скорая медицинская помощь может быть оказана без оформления согласия на медицинское вмешательство при условии оказания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pPr>
        <w:pStyle w:val="BodyText"/>
      </w:pPr>
      <w:r>
        <w:t xml:space="preserve">8. Личные медицинские книжки будут оформляться в электронном виде.</w:t>
      </w:r>
    </w:p>
    <w:p>
      <w:pPr>
        <w:pStyle w:val="BodyText"/>
      </w:pPr>
      <w:r>
        <w:t xml:space="preserve">Согласно п. 8 ст. 34 Федерального закона «О санитарно-эпидемиологическом благополучии населения» документом, подтверждающим прохождение медицинских осмотров, является личная медицинская книжка, оформленная на бумажном носителе, а также в форме электронного документа. Приказом Минздрава России от 18.02.2022 № 90н утверждена форма личной медицинской книжки в электронном виде, а также перечень информации, которую она должна содержать.</w:t>
      </w:r>
    </w:p>
    <w:p>
      <w:pPr>
        <w:pStyle w:val="BodyText"/>
      </w:pPr>
      <w:r>
        <w:t xml:space="preserve">Личная медицинская книжка формируется по результатам предварительных (при поступлении на работу) и периодических медицинских осмотров работников с использованием подсистемы электронных личных медицинских книжек Федеральной государственной информационной системы сведений санитарно-эпидемиологического характера. При формировании каждой книжке присваивается уникальный идентификатор.</w:t>
      </w:r>
    </w:p>
    <w:p>
      <w:pPr>
        <w:pStyle w:val="BodyText"/>
      </w:pPr>
      <w:r>
        <w:t xml:space="preserve">Формирование книжки осуществляется ответственным сотрудником уполномоченного федерального государственного учреждения, подведомственного Федеральной службе по надзору в сфере защиты прав потребителей и благополучия человека. При этом, книжка может быть предоставлена в виде документа на бумажном носителе в случае обращения работника с соответствующим заявлением.</w:t>
      </w:r>
    </w:p>
    <w:p>
      <w:pPr>
        <w:pStyle w:val="BodyText"/>
      </w:pPr>
      <w:r>
        <w:t xml:space="preserve">В целях установления переходного периода до 1 сентября 2024 года допускается выдача и ведение ранее выданных личных медицинских книжек на бумажном носителе, оформленных на бланках и по форме, которые применялись до дня вступления в силу Приказа Минздрава России № 90н.</w:t>
      </w:r>
    </w:p>
    <w:p>
      <w:pPr>
        <w:pStyle w:val="BodyText"/>
      </w:pPr>
      <w:r>
        <w:t xml:space="preserve">9. С 1 мая 2024 года будут увеличены размеры переводов между собственными счетами гражданина в банковских организациях.</w:t>
      </w:r>
    </w:p>
    <w:p>
      <w:pPr>
        <w:pStyle w:val="BodyText"/>
      </w:pPr>
      <w:r>
        <w:t xml:space="preserve">В ст. 29 Федерального закона «О банках и банковской деятельности» от 03.02.1996 №17-ФЗ внесены изменения, согласно которым кредитные организации не вправе взимать комиссию за переводы между банковскими счетами (вкладами) одного физического лица в разных банках в сумме до 30 000 000 рублей в месяц.</w:t>
      </w:r>
    </w:p>
    <w:p>
      <w:pPr>
        <w:pStyle w:val="BodyText"/>
      </w:pPr>
      <w:r>
        <w:t xml:space="preserve">Указанные изменения распространяются на переводы денежных средств одним физическим лицом по номеру счёта в мобильном приложении или через личный кабинет на сайте банка на свой счет в другом банке и на переводы по своему номеру телефона через «Систему быстрых платежей».</w:t>
      </w:r>
    </w:p>
    <w:p>
      <w:pPr>
        <w:pStyle w:val="BodyText"/>
      </w:pPr>
      <w:r>
        <w:t xml:space="preserve">Данные изменения не распространяются на переводы, совершаемые при личном посещении офиса кредитной организации, а также на переводы по номеру карты.</w:t>
      </w:r>
    </w:p>
    <w:p>
      <w:pPr>
        <w:pStyle w:val="BodyText"/>
      </w:pPr>
      <w:r>
        <w:t xml:space="preserve">Рассматриваемые изменения в Федеральный закон «О банках и банковской деятельности» вступят в силу 01.05.2024.</w:t>
      </w:r>
    </w:p>
    <w:p>
      <w:pPr>
        <w:pStyle w:val="BodyText"/>
      </w:pPr>
      <w:r>
        <w:t xml:space="preserve">10. В КоАП РФ уточнены положения об административном выдворении лиц за пределы Российской Федерации.</w:t>
      </w:r>
    </w:p>
    <w:p>
      <w:pPr>
        <w:pStyle w:val="BodyText"/>
      </w:pPr>
      <w:r>
        <w:t xml:space="preserve">Ст. 27.19.1 КоАП РФ установлен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"О правовом положении иностранных граждан в Российской Федерации".</w:t>
      </w:r>
    </w:p>
    <w:p>
      <w:pPr>
        <w:pStyle w:val="BodyText"/>
      </w:pPr>
      <w:r>
        <w:t xml:space="preserve">Указанные лица не могут содержаться в специальных учреждениях более 90 суток. Рассматриваемый срок может быть увеличен не более чем на 90 суток судьёй по ходатайству судебного-пристава исполнителя, исполняющего постановление по делу об административном правонарушении, или уполномоченного сотрудника органа внутренних дел.</w:t>
      </w:r>
    </w:p>
    <w:p>
      <w:pPr>
        <w:pStyle w:val="BodyText"/>
      </w:pPr>
      <w:r>
        <w:t xml:space="preserve">Условия принятия решения судьей о применении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описаны в ч. 4 ст. 3.10 КоАП РФ.</w:t>
      </w:r>
    </w:p>
    <w:p>
      <w:pPr>
        <w:pStyle w:val="BodyText"/>
      </w:pPr>
      <w:r>
        <w:t xml:space="preserve">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pPr>
        <w:pStyle w:val="BodyText"/>
      </w:pPr>
      <w:r>
        <w:br/>
      </w:r>
    </w:p>
    <w:p>
      <w:pPr>
        <w:pStyle w:val="BodyText"/>
      </w:pPr>
      <w:r>
        <w:t xml:space="preserve">Адрес страницы:</w:t>
      </w:r>
      <w:r>
        <w:t xml:space="preserve"> </w:t>
      </w:r>
      <w:hyperlink r:id="rId20">
        <w:r>
          <w:rPr>
            <w:rStyle w:val="Hyperlink"/>
          </w:rPr>
          <w:t xml:space="preserve">http://uzao.mos.ru/nash-okrug/prokuror-razyasnyaet/detail/12155429.html</w:t>
        </w:r>
      </w:hyperlink>
    </w:p>
    <w:p>
      <w:pPr>
        <w:pStyle w:val="BodyText"/>
      </w:pPr>
      <w:hyperlink r:id="rId21">
        <w:r>
          <w:rPr>
            <w:rStyle w:val="Hyperlink"/>
          </w:rPr>
          <w:t xml:space="preserve">Префектура Юго-Западного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zao.mos.ru" TargetMode="External" /><Relationship Type="http://schemas.openxmlformats.org/officeDocument/2006/relationships/hyperlink" Id="rId20" Target="http://uzao.mos.ru/nash-okrug/prokuror-razyasnyaet/detail/12155429.html" TargetMode="External" /></Relationships>
</file>

<file path=word/_rels/footnotes.xml.rels><?xml version="1.0" encoding="UTF-8"?><Relationships xmlns="http://schemas.openxmlformats.org/package/2006/relationships"><Relationship Type="http://schemas.openxmlformats.org/officeDocument/2006/relationships/hyperlink" Id="rId21" Target="http://uzao.mos.ru" TargetMode="External" /><Relationship Type="http://schemas.openxmlformats.org/officeDocument/2006/relationships/hyperlink" Id="rId20" Target="http://uzao.mos.ru/nash-okrug/prokuror-razyasnyaet/detail/1215542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2025-05-24T07:33:34Z</dcterms:created>
  <dcterms:modified xsi:type="dcterms:W3CDTF">2025-05-24T07:33:34Z</dcterms:modified>
</cp:coreProperties>
</file>

<file path=docProps/custom.xml><?xml version="1.0" encoding="utf-8"?>
<Properties xmlns="http://schemas.openxmlformats.org/officeDocument/2006/custom-properties" xmlns:vt="http://schemas.openxmlformats.org/officeDocument/2006/docPropsVTypes"/>
</file>