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6fea557a55f5e649f06f0857eb427160663cb64"/>
    <w:p>
      <w:pPr>
        <w:pStyle w:val="Heading3"/>
      </w:pPr>
      <w:r>
        <w:t xml:space="preserve">Мосжилинспекция обязала управляющую организацию выполнить ремонт кровли в доме 20А по Симферопольскому бульвару (район Зюзино).</w:t>
      </w:r>
    </w:p>
    <w:p>
      <w:pPr>
        <w:pStyle w:val="FirstParagraph"/>
      </w:pPr>
      <w:r>
        <w:t xml:space="preserve">14.04.2021</w:t>
      </w:r>
    </w:p>
    <w:p>
      <w:pPr>
        <w:pStyle w:val="BodyText"/>
      </w:pPr>
      <w:r>
        <w:t xml:space="preserve">Мосжилинспекция обязала управляющую организацию выполнить ремонт кровли в доме 20А по Симферопольскому бульвару (район Зюзино).</w:t>
      </w:r>
    </w:p>
    <w:p>
      <w:pPr>
        <w:pStyle w:val="BodyText"/>
      </w:pPr>
      <w:r>
        <w:t xml:space="preserve">В Мосжилинспекцию обратился житель дома с жалобой на бездействие управляющей организации в связи с отказом проводить работы по ремонту кровли. В своем обращении житель описал ситуацию по очередному залитию квартиры с крыши дома.</w:t>
      </w:r>
    </w:p>
    <w:p>
      <w:pPr>
        <w:pStyle w:val="BodyText"/>
      </w:pPr>
      <w:r>
        <w:t xml:space="preserve">В рамках рассмотрения обращения, Мосжилинспекция в кротчайшие сроки обязала управляющую организацию выполнить ремонт кровли дома в зоне квартиры жителя. Управляющая организация выполнила ремонт кровли над квартирой жителя заменив слой гидроизоляции на новый.</w:t>
      </w:r>
    </w:p>
    <w:p>
      <w:pPr>
        <w:pStyle w:val="BodyText"/>
      </w:pPr>
      <w:r>
        <w:t xml:space="preserve">Также Мосжилинспекция информируем, что, если в жилых помещениях квартиры имеются следы протечек из-за негерметичности кровельного покрытия дома, жителям в соответствии с Гражданским кодексом Российской Федерации необходимо обращаться в суд для возмещения ущерба, причинённого имуществу квартиры.</w:t>
      </w:r>
    </w:p>
    <w:p>
      <w:pPr>
        <w:pStyle w:val="BodyText"/>
      </w:pPr>
      <w:r>
        <w:t xml:space="preserve">Согласно части 1 статьи 1064 Гражданского кодекса Российской Федерации (далее - ГК РФ) вред, причиненный личности или имуществу гражданина, подлежит возмещению в полном объеме лицом, причинившим вред. В силу статьи 15 ГК РФ, лицо, право которого нарушено, может требовать полного возмещения причиненных ему убытков, если законом или договором не предусмотрено возмещение убытков в меньшем размере. Таким образом, виновное лицо должно компенсировать причиненный ущерб в полном объеме.</w:t>
      </w:r>
    </w:p>
    <w:p>
      <w:pPr>
        <w:pStyle w:val="BodyText"/>
      </w:pPr>
      <w:r>
        <w:drawing>
          <wp:inline>
            <wp:extent cx="5111014" cy="447574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zao.mos.ru/www/222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014" cy="4475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3946357" cy="5727031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zao.mos.ru/www/2222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357" cy="57270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http://uzao.mos.ru/nash-okrug/information-zhilinspektsii/detail/9871278.html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hyperlink" Id="rId27" Target="http://uzao.mos.ru" TargetMode="External" /><Relationship Type="http://schemas.openxmlformats.org/officeDocument/2006/relationships/hyperlink" Id="rId26" Target="http://uzao.mos.ru/nash-okrug/information-zhilinspektsii/detail/98712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zao.mos.ru" TargetMode="External" /><Relationship Type="http://schemas.openxmlformats.org/officeDocument/2006/relationships/hyperlink" Id="rId26" Target="http://uzao.mos.ru/nash-okrug/information-zhilinspektsii/detail/98712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2025-06-03T01:33:04Z</dcterms:created>
  <dcterms:modified xsi:type="dcterms:W3CDTF">2025-06-03T01:33:04Z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