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4d0bc9624191dc922089b5ac7d66e567f4f86"/>
    <w:p>
      <w:pPr>
        <w:pStyle w:val="Heading3"/>
      </w:pPr>
      <w:r>
        <w:t xml:space="preserve">По вопросу о способе определения субъектов и объектов для осуществления мероприятий жилищного надзора в отношении организаций, осуществляющих управление многоквартирными домами в Юго-Западном административном округе</w:t>
      </w:r>
    </w:p>
    <w:p>
      <w:pPr>
        <w:pStyle w:val="FirstParagraph"/>
      </w:pPr>
      <w:r>
        <w:t xml:space="preserve">09.04.2021</w:t>
      </w:r>
    </w:p>
    <w:p>
      <w:pPr>
        <w:pStyle w:val="BodyText"/>
      </w:pPr>
      <w:r>
        <w:t xml:space="preserve">Начальник Жилищной инспекции по ЮЗАО разъясняет следующее.</w:t>
      </w:r>
    </w:p>
    <w:p>
      <w:pPr>
        <w:pStyle w:val="BodyText"/>
      </w:pPr>
      <w:r>
        <w:t xml:space="preserve">Федеральный закон №294-фз от 28.12.2008 «О защите прав юридических лиц и индивидуальных предпринимателей при осуществлении государственного контроля (надзора) и муниципального контроля» содержит правовую позицию, регулирующий вопросы определения интенсивности проведения проверочных мероприятий путем анализа объекта проверки по риск-ориентированному принципу. Критерии оценки объектов проверок самостоятельно определяется органом государственного контроля исходя из полномочий и поставленных перед ним задач.</w:t>
      </w:r>
    </w:p>
    <w:p>
      <w:pPr>
        <w:pStyle w:val="BodyText"/>
      </w:pPr>
      <w:r>
        <w:t xml:space="preserve">С учетом специфики деятельности органов жилищного надзора, направленного на выявление, пресечение и предупреждение нарушений в сфере жилищного законодательства, Мосжилинспекция интенсивность проведения проверок с учетом риск-ориентированного подхода определяет по принципу функционирования светофора: в зависимости от количества поступающих обращений от жителей за отчётный месяц по вопросам ненадлежащего содержания и эксплуатации определенного многоквартирного дома формируется список управляющих организаций и адресов многоквартирных домов, подпадающих в красную, желтую и зеленную зоны.</w:t>
      </w:r>
    </w:p>
    <w:p>
      <w:pPr>
        <w:pStyle w:val="BodyText"/>
      </w:pPr>
      <w:r>
        <w:t xml:space="preserve">В красную зону включаются многоквартирные дома, по адресам расположения которых поступили в инспекцию за отчетный период три и более обращений, содержащих информацию о ненадлежащем содержании и эксплуатации многоквартирного дома. В отношении этой категории осмотры соответствия состояния многоквартирного дома нормам и правилам технической эксплуатации осуществляются еженедельно.</w:t>
      </w:r>
    </w:p>
    <w:p>
      <w:pPr>
        <w:pStyle w:val="BodyText"/>
      </w:pPr>
      <w:r>
        <w:t xml:space="preserve">Многоквартирные дома, по адресам расположения которых за отчетный период поступили обращения не более одного раза в разрезе каждого, подпадают в желтую зону и проверочные мероприятия в отношении этих МКД в рамках систематического наблюдения проводятся раз в месяц.</w:t>
      </w:r>
    </w:p>
    <w:p>
      <w:pPr>
        <w:pStyle w:val="BodyText"/>
      </w:pPr>
      <w:r>
        <w:t xml:space="preserve">В зеленной зоне находятся многоквартирные дома, по адресам расположения которых за отчетный период обращения не поступали, а в отношении этой категории проверочные мероприятия осуществляются по мере возникновения необходимости.</w:t>
      </w:r>
    </w:p>
    <w:p>
      <w:pPr>
        <w:pStyle w:val="BodyText"/>
      </w:pPr>
      <w:r>
        <w:t xml:space="preserve">Принцип «светафора» для определения объектов в целях осуществления систематического наблюдения позволяет своевременно выявлять многоквартирные дома, управление в отношении которых осуществляются с нарушением требований норм и правил технической эксплуатации, предпринять меры по предупреждению совершения правонарушений в сфере жилищного законодательства.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http://uzao.mos.ru/nash-okrug/information-zhilinspektsii/detail/9855364.html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information-zhilinspektsii/detail/98553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information-zhilinspektsii/detail/98553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2025-02-15T23:58:08Z</dcterms:created>
  <dcterms:modified xsi:type="dcterms:W3CDTF">2025-02-15T23:58:08Z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