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4cabf849dcf12882a7672812fd6e978ce86b7"/>
    <w:p>
      <w:pPr>
        <w:pStyle w:val="Heading3"/>
      </w:pPr>
      <w:r>
        <w:t xml:space="preserve">Протокол № 1 заседания Комиссии по противодействию коррупции префектуры Юго-Западного административного округа города Москвы 27.03.2020</w:t>
      </w:r>
    </w:p>
    <w:p>
      <w:pPr>
        <w:pStyle w:val="FirstParagraph"/>
      </w:pPr>
      <w:r>
        <w:t xml:space="preserve">21.04.2020</w:t>
      </w:r>
    </w:p>
    <w:p>
      <w:pPr>
        <w:pStyle w:val="BodyText"/>
      </w:pPr>
      <w:r>
        <w:rPr>
          <w:bCs/>
          <w:b/>
        </w:rPr>
        <w:t xml:space="preserve">Протокол № 1</w:t>
      </w:r>
    </w:p>
    <w:p>
      <w:pPr>
        <w:pStyle w:val="BodyText"/>
      </w:pPr>
      <w:r>
        <w:rPr>
          <w:bCs/>
          <w:b/>
        </w:rPr>
        <w:t xml:space="preserve">заседания Комиссии по противодействию коррупции префектуры</w:t>
      </w:r>
      <w:r>
        <w:br/>
      </w:r>
      <w:r>
        <w:rPr>
          <w:bCs/>
          <w:b/>
        </w:rPr>
        <w:t xml:space="preserve">Юго-Западного административного округа города Москвы</w:t>
      </w:r>
    </w:p>
    <w:p>
      <w:pPr>
        <w:pStyle w:val="BodyText"/>
      </w:pPr>
      <w:r>
        <w:rPr>
          <w:bCs/>
          <w:b/>
        </w:rPr>
        <w:t xml:space="preserve">27.03.2020                                                                                                                                                           г.Москва</w:t>
      </w:r>
    </w:p>
    <w:p>
      <w:pPr>
        <w:pStyle w:val="BodyText"/>
      </w:pPr>
      <w:r>
        <w:rPr>
          <w:bCs/>
          <w:b/>
        </w:rPr>
        <w:t xml:space="preserve">Повестка дня:</w:t>
      </w:r>
    </w:p>
    <w:p>
      <w:pPr>
        <w:pStyle w:val="BodyText"/>
      </w:pPr>
      <w:r>
        <w:t xml:space="preserve">1. О реализации мероприятий за I квартал 2020 года, предусмотренных Планом противодействия коррупции в префектуре Юго-Западного административного округа города Москвы на 2018-2020 годы.</w:t>
      </w:r>
    </w:p>
    <w:p>
      <w:pPr>
        <w:pStyle w:val="BodyText"/>
      </w:pPr>
      <w:r>
        <w:t xml:space="preserve">2. О направлении государственным гражданским служащим префектуры </w:t>
      </w:r>
      <w:r>
        <w:t xml:space="preserve">Юго-Западного административного округа города Москвы методических материалов в рамках антикоррупционного просвещения и ознакомлении </w:t>
      </w:r>
      <w:r>
        <w:t xml:space="preserve">с изменениями в законодательстве в области противодействия коррупции.</w:t>
      </w:r>
    </w:p>
    <w:p>
      <w:pPr>
        <w:pStyle w:val="BodyText"/>
      </w:pPr>
      <w:r>
        <w:rPr>
          <w:bCs/>
          <w:b/>
        </w:rPr>
        <w:t xml:space="preserve">По итогам заседания Комиссия решила</w:t>
      </w:r>
      <w:r>
        <w:t xml:space="preserve">:</w:t>
      </w:r>
    </w:p>
    <w:p>
      <w:pPr>
        <w:pStyle w:val="BodyText"/>
      </w:pPr>
      <w:r>
        <w:t xml:space="preserve">1.</w:t>
      </w:r>
      <w:r>
        <w:t xml:space="preserve"> </w:t>
      </w:r>
      <w:r>
        <w:rPr>
          <w:bCs/>
          <w:b/>
        </w:rPr>
        <w:t xml:space="preserve">Направлять</w:t>
      </w:r>
      <w:r>
        <w:t xml:space="preserve"> </w:t>
      </w:r>
      <w:r>
        <w:t xml:space="preserve">государственным гражданским служащим префектуры Юго-Западного административного округа города Москвы методические материалы с использованием электронного документооборота и рабочей почты.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Знакомить</w:t>
      </w:r>
      <w:r>
        <w:t xml:space="preserve"> </w:t>
      </w:r>
      <w:r>
        <w:t xml:space="preserve">государственных гражданских служащих префектуры лично под роспись с изменениями в законодательстве в области противодействия коррупции с дальнейшим хранением материалов.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http://uzao.mos.ru/combating-corruption/the-commission-for-observance-of-requirements-for-the-official-behaviour-of-state-civil-employees-of/detail/8849824.html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the-commission-for-observance-of-requirements-for-the-official-behaviour-of-state-civil-employees-of/detail/88498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the-commission-for-observance-of-requirements-for-the-official-behaviour-of-state-civil-employees-of/detail/88498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2025-06-20T04:04:34Z</dcterms:created>
  <dcterms:modified xsi:type="dcterms:W3CDTF">2025-06-20T04:04:34Z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