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0cb84af01ecddd6c4296771ba6e290944276"/>
    <w:p>
      <w:pPr>
        <w:pStyle w:val="Heading3"/>
      </w:pPr>
      <w:r>
        <w:t xml:space="preserve">Протокол № 4 заседания Комиссии по соблюдению требований к служебному поведению государственных гражданских служащих префектуры ЮЗАО и урегулированию конфликта интересов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rPr>
          <w:bCs/>
          <w:b/>
        </w:rPr>
        <w:t xml:space="preserve">Протокол № 4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t xml:space="preserve">12 октября 2018 года                                                                                                                                                                    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2017 год в отношении работников префектуры ЮЗАО города Москвы.</w:t>
      </w:r>
    </w:p>
    <w:p>
      <w:pPr>
        <w:pStyle w:val="BodyText"/>
      </w:pPr>
      <w:r>
        <w:t xml:space="preserve">2. Рассмотрение факта нарушения Типового кодекса этики XXXXX, исполняющего обязанности первого заместителя главы управы ХХХХХ города Москвы.</w:t>
      </w:r>
    </w:p>
    <w:p>
      <w:pPr>
        <w:pStyle w:val="BodyText"/>
      </w:pPr>
      <w:r>
        <w:t xml:space="preserve">3. Рассмотрение заявления XXXXX, исполняющего обязанности первого заместителя главы управы района ХХХХХ города Москвы, о возможности наличия либо отсутствия конфликта интересов.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XXXXX,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 Признать, что для принятия решения в отношении XXXXX, исполняющего обязанности первого заместителя главы управы ХХХХХ района города Москвы, требуются дополнительные материалы проверки.</w:t>
      </w:r>
    </w:p>
    <w:p>
      <w:pPr>
        <w:pStyle w:val="BodyText"/>
      </w:pPr>
      <w:r>
        <w:t xml:space="preserve">3. Признать, что при исполнении XXXXX, исполняющим обязанности первого заместителя главы управы района ХХХХХ города Москвы, своих должностных обязанностей конфликт интересов отсутствует.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http://uzao.mos.ru/combating-corruption/the-commission-for-observance-of-requirements-for-the-official-behaviour-of-state-civil-employees-of/detail/7637601.html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2025-02-24T22:20:06Z</dcterms:created>
  <dcterms:modified xsi:type="dcterms:W3CDTF">2025-02-24T22:20:06Z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