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1688c1e9f8c4809ef26cf5350ba820c1a5590"/>
    <w:p>
      <w:pPr>
        <w:pStyle w:val="Heading3"/>
      </w:pPr>
      <w:r>
        <w:t xml:space="preserve">Протокол № 2 заседания Комиссии по соблюдению требований к служебному поведению государственных гражданских служащих префектуры ЮЗАО и урегулированию конфликта интересов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rPr>
          <w:bCs/>
          <w:b/>
        </w:rPr>
        <w:t xml:space="preserve">Протокол № 2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t xml:space="preserve">23 августа 2018 года                                                                                                                                                            г. 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Результаты проверки достоверности и полноты сведений о доходах, об имуществе и обязательствах имущественного характера за 2017 год в отношении работников префектуры ЮЗАО города Москвы, первых заместителей глав управ районов, заместителей глав управ районов.</w:t>
      </w:r>
    </w:p>
    <w:p>
      <w:pPr>
        <w:pStyle w:val="BodyText"/>
      </w:pPr>
      <w:r>
        <w:t xml:space="preserve">2. Рассмотрение заявления ХХХХХ, о возможности наличия либо отсутствия конфликта интересов.</w:t>
      </w:r>
    </w:p>
    <w:p>
      <w:pPr>
        <w:pStyle w:val="BodyText"/>
      </w:pPr>
      <w:r>
        <w:t xml:space="preserve">3. Рассмотрение заявления ХХХХХ, о возможности наличия либо отсутствия конфликта интересов.</w:t>
      </w:r>
    </w:p>
    <w:p>
      <w:pPr>
        <w:pStyle w:val="BodyText"/>
      </w:pPr>
      <w:r>
        <w:t xml:space="preserve">4. Рассмотрение заявления ХХХХХ, о возможности наличия либо отсутствия конфликта интересов.</w:t>
      </w:r>
    </w:p>
    <w:p>
      <w:pPr>
        <w:pStyle w:val="BodyText"/>
      </w:pPr>
      <w:r>
        <w:t xml:space="preserve">5. Рассмотрение факта нарушения Типового кодекса этики ХХХХХ, первым заместителем главы управы района ХХХХХ города Москвы.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ХХХХХ.</w:t>
      </w:r>
    </w:p>
    <w:p>
      <w:pPr>
        <w:pStyle w:val="BodyText"/>
      </w:pPr>
      <w:r>
        <w:t xml:space="preserve">2.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ХХХХХ.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  от 25.12.2008 № 273-ФЗ «О противодействии коррупции».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 </w:t>
      </w:r>
    </w:p>
    <w:p>
      <w:pPr>
        <w:pStyle w:val="BodyText"/>
      </w:pP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7.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ХХХХХ.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первому заместителю главы управы ХХХХХ района города Москвы,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заместителю главы управы ХХХХХ района города Москвы, на необходимость недопущения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12.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первому заместителю главы управы района ХХХХХ города Москвы,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13.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ХХХХХ, заместителю главы управы района ХХХХХ города Москвы.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заместителю главы управы ХХХХХ района города Москвы,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15.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ХХХХХ, заместителю главы управы района ХХХХХ города Москвы.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заместителю главы управы района ХХХХХ города Москвы,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17.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ХХХХХ, заместителю главы управы района ХХХХХ города Москвы.</w:t>
      </w:r>
    </w:p>
    <w:p>
      <w:pPr>
        <w:pStyle w:val="BodyText"/>
      </w:pPr>
      <w:r>
        <w:t xml:space="preserve">18.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заместителю главы управы района ХХХХХ города Москвы,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19. Признать, что при исполнении ХХХХХ, своих должностных обязанностей конфликт интересов отсутствует.</w:t>
      </w:r>
    </w:p>
    <w:p>
      <w:pPr>
        <w:pStyle w:val="BodyText"/>
      </w:pPr>
      <w:r>
        <w:t xml:space="preserve">20. Признать, что при исполнении ХХХХХ, своих должностных обязанностей конфликт интересов отсутствует.</w:t>
      </w:r>
    </w:p>
    <w:p>
      <w:pPr>
        <w:pStyle w:val="BodyText"/>
      </w:pPr>
      <w:r>
        <w:t xml:space="preserve">21. Дать согласие ХХХХХ, на замещение должности ХХХХХ и признать, что при исполнении будущих должностных обязанностей конфликт интересов отсутствует.</w:t>
      </w:r>
    </w:p>
    <w:p>
      <w:pPr>
        <w:pStyle w:val="BodyText"/>
      </w:pPr>
      <w:r>
        <w:t xml:space="preserve">22. Перенести рассмотрение факта нарушения Типового кодекса этики ХХХХХ, на следующее заседание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http://uzao.mos.ru/combating-corruption/the-commission-for-observance-of-requirements-for-the-official-behaviour-of-state-civil-employees-of/detail/7637561.html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2025-06-14T11:51:16Z</dcterms:created>
  <dcterms:modified xsi:type="dcterms:W3CDTF">2025-06-14T11:51:16Z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