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1d9bd6153ae902d4f8ffc9e352f63a3954c7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7 февраля 2018 года                                                                                                                                       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Рассмотрение результатов осуществления контроля за расходами ХХХХХ, директора Государственного бюджетного учреждения города Москвы «ХХХХХ» (далее – ГБУ города Москвы «ХХХХХ»).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Признать, что сведения, представленные ХХХХХ, директором ГБУ города Москвы «ХХХХХ», полностью обосновывают из каких источников им получены средства для приобретения автомобилей.</w:t>
      </w:r>
    </w:p>
    <w:p>
      <w:pPr>
        <w:pStyle w:val="BodyText"/>
      </w:pPr>
      <w:r>
        <w:t xml:space="preserve">2. Строго указать ХХХХХ, директору ГБУ города Москвы «ХХХХХ», на необходимость соблюдения требований антикоррупционного законодательства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http://uzao.mos.ru/combating-corruption/the-commission-for-observance-of-requirements-for-the-official-behaviour-of-state-civil-employees-of/detail/7174636.html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17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17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2025-07-20T12:50:08Z</dcterms:created>
  <dcterms:modified xsi:type="dcterms:W3CDTF">2025-07-20T12:50:08Z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