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e7426bdd1a2c2fbb3464b309d1a6abb52d2551"/>
    <w:p>
      <w:pPr>
        <w:pStyle w:val="Heading3"/>
      </w:pPr>
      <w:r>
        <w:t xml:space="preserve">Распоряжение префектуры от 03.03.2022 № 77-РП "О внесении изменений в распоряжение префектуры от 01.03.2018 № 92-РП и признании утратившим силу распоряжения префектуры от 01.09.2021 № 205-РП"</w:t>
      </w:r>
    </w:p>
    <w:p>
      <w:pPr>
        <w:pStyle w:val="FirstParagraph"/>
      </w:pPr>
      <w:r>
        <w:t xml:space="preserve">02.08.2022</w:t>
      </w:r>
    </w:p>
    <w:p>
      <w:pPr>
        <w:pStyle w:val="BodyText"/>
      </w:pPr>
      <w:hyperlink r:id="rId20">
        <w:r>
          <w:rPr>
            <w:rStyle w:val="Hyperlink"/>
          </w:rPr>
          <w:t xml:space="preserve">Распоряжение префектуры от 03.03.2022 № 77-РП "О внесении изменений в распоряжение префектуры от 01.03.2018 № 92-РП и признании утратившим силу распоряжения префектуры от 01.09.2021 № 205-РП"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http://uzao.mos.ru/combating-corruption/the-commission-for-observance-of-requirements-for-the-official-behaviour-of-state-civil-employees-of/detail/10969956.html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77-&#1088;&#1087;%20(1).pdf" TargetMode="Externa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combating-corruption/the-commission-for-observance-of-requirements-for-the-official-behaviour-of-state-civil-employees-of/detail/109699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77-&#1088;&#1087;%20(1).pdf" TargetMode="Externa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combating-corruption/the-commission-for-observance-of-requirements-for-the-official-behaviour-of-state-civil-employees-of/detail/109699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2024-08-02T06:19:15Z</dcterms:created>
  <dcterms:modified xsi:type="dcterms:W3CDTF">2024-08-02T06:19:15Z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