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a3568b1ff544fa1d604ba0d6689658b71bcce1"/>
    <w:p>
      <w:pPr>
        <w:pStyle w:val="Heading3"/>
      </w:pPr>
      <w:r>
        <w:t xml:space="preserve">Распоряжение префектуры "О внесении изменений в распоряжение префектуры от 29.05.2020 № 195-РП и признании утратившим силу распоряжения префектуры от 08.04.2021 № 106-РП" от 01.09.2021 г. № 204-РП</w:t>
      </w:r>
    </w:p>
    <w:p>
      <w:pPr>
        <w:pStyle w:val="FirstParagraph"/>
      </w:pPr>
      <w:r>
        <w:t xml:space="preserve">13.09.2021</w:t>
      </w:r>
    </w:p>
    <w:p>
      <w:pPr>
        <w:pStyle w:val="BodyText"/>
      </w:pPr>
      <w:hyperlink r:id="rId20">
        <w:r>
          <w:rPr>
            <w:rStyle w:val="Hyperlink"/>
          </w:rPr>
          <w:t xml:space="preserve">Распоряжение префектуры "О внесении изменений в распоряжение префектуры от 29.05.2020 № 195-РП и признании утратившим силу распоряжения префектуры от 08.04.2021 № 106-РП" от 01.09.2021 г. № 204-РП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http://uzao.mos.ru/combating-corruption/the-commission-for-observance-of-requirements-for-the-official-behaviour-of-state-civil-employees-of/detail/10249611.html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204-&#1088;&#1087;.pdf" TargetMode="Externa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combating-corruption/the-commission-for-observance-of-requirements-for-the-official-behaviour-of-state-civil-employees-of/detail/102496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204-&#1088;&#1087;.pdf" TargetMode="Externa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combating-corruption/the-commission-for-observance-of-requirements-for-the-official-behaviour-of-state-civil-employees-of/detail/102496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2025-02-12T16:45:37Z</dcterms:created>
  <dcterms:modified xsi:type="dcterms:W3CDTF">2025-02-12T16:45:37Z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