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e212347c7bf3d7ebe92cbe2ad752abd8a24f"/>
    <w:p>
      <w:pPr>
        <w:pStyle w:val="Heading3"/>
      </w:pPr>
      <w:r>
        <w:t xml:space="preserve">Информация об исполнении мероприятий в ЮЗАО города Москвы за I полугодие 2020 года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По пункту 1.8</w:t>
      </w:r>
    </w:p>
    <w:p>
      <w:pPr>
        <w:pStyle w:val="BodyText"/>
      </w:pPr>
      <w:r>
        <w:t xml:space="preserve">Префект ЮЗАО города Москвы и главы управ районов ЮЗАО города Москвы не принимали участия в международных мероприятиях </w:t>
      </w:r>
    </w:p>
    <w:p>
      <w:pPr>
        <w:pStyle w:val="BodyText"/>
      </w:pPr>
      <w:r>
        <w:t xml:space="preserve">по вопросам противодействия коррупции, в работе конференций, форумов, заседаниях по вопросам противодействия коррупции в I полугодии 2020 года.</w:t>
      </w:r>
    </w:p>
    <w:p>
      <w:pPr>
        <w:pStyle w:val="BodyText"/>
      </w:pPr>
      <w:r>
        <w:rPr>
          <w:iCs/>
          <w:i/>
        </w:rPr>
        <w:t xml:space="preserve">По пункту 1.9</w:t>
      </w:r>
    </w:p>
    <w:p>
      <w:pPr>
        <w:pStyle w:val="BodyText"/>
      </w:pPr>
      <w:r>
        <w:t xml:space="preserve">За I полугодие 2020 года проведено 10 заседаний Комиссий </w:t>
      </w:r>
    </w:p>
    <w:p>
      <w:pPr>
        <w:pStyle w:val="BodyText"/>
      </w:pPr>
      <w:r>
        <w:t xml:space="preserve">по соблюдению требований к служебному поведению ГГС префектуры и управ районов ЮЗАО и урегулированию конфликта интересов, а также 26 заседаний Комиссий по противодействию коррупции префектуры и управ районов ЮЗАО.</w:t>
      </w:r>
    </w:p>
    <w:p>
      <w:pPr>
        <w:pStyle w:val="BodyText"/>
      </w:pPr>
      <w:r>
        <w:rPr>
          <w:iCs/>
          <w:i/>
        </w:rPr>
        <w:t xml:space="preserve">По пункту 1.10</w:t>
      </w:r>
    </w:p>
    <w:p>
      <w:pPr>
        <w:pStyle w:val="BodyText"/>
      </w:pPr>
      <w:r>
        <w:t xml:space="preserve">За I полугодие 2020 года в префектуре ЮЗАО города Москвы </w:t>
      </w:r>
    </w:p>
    <w:p>
      <w:pPr>
        <w:pStyle w:val="BodyText"/>
      </w:pPr>
      <w:r>
        <w:t xml:space="preserve">и в управах районов ЮЗАО города Москвы не зафиксированы факты коррупции.</w:t>
      </w:r>
    </w:p>
    <w:p>
      <w:pPr>
        <w:pStyle w:val="BodyText"/>
      </w:pPr>
      <w:r>
        <w:rPr>
          <w:iCs/>
          <w:i/>
        </w:rPr>
        <w:t xml:space="preserve">По пункту 1.12</w:t>
      </w:r>
    </w:p>
    <w:p>
      <w:pPr>
        <w:pStyle w:val="BodyText"/>
      </w:pPr>
      <w:r>
        <w:t xml:space="preserve">Управлением по работе с документами префектуры ЮЗАО города Москвы в постоянном режиме осуществляется особый контроль (при регистрации проставляется пометка «коррупция») за обращениями граждан </w:t>
      </w:r>
    </w:p>
    <w:p>
      <w:pPr>
        <w:pStyle w:val="BodyText"/>
      </w:pPr>
      <w:r>
        <w:t xml:space="preserve">и организаций, содержащими признаки коррупции, поступившими </w:t>
      </w:r>
    </w:p>
    <w:p>
      <w:pPr>
        <w:pStyle w:val="BodyText"/>
      </w:pPr>
      <w:r>
        <w:t xml:space="preserve">в префектуру в письменном и в электронном виде, в приемную префектуры, а также через электронную приемную официального сайта префектуры. </w:t>
      </w:r>
    </w:p>
    <w:p>
      <w:pPr>
        <w:pStyle w:val="BodyText"/>
      </w:pPr>
      <w:r>
        <w:t xml:space="preserve">За I полугодие 2020 года в системе электронного документооборота </w:t>
      </w:r>
    </w:p>
    <w:p>
      <w:pPr>
        <w:pStyle w:val="BodyText"/>
      </w:pPr>
      <w:r>
        <w:t xml:space="preserve">(далее - СЭД) зарегистрировано 14 обращений граждан с пометкой «Коррупция», из них – 11 письменных обращений и 3 обращения через Интернет-сайт. Из них 11 обращений рассмотрены в установленные сроки, по результатам рассмотрения фактов коррупционных проявлений </w:t>
      </w:r>
    </w:p>
    <w:p>
      <w:pPr>
        <w:pStyle w:val="BodyText"/>
      </w:pPr>
      <w:r>
        <w:t xml:space="preserve">не выявлено, заявителям направлены ответы в установленные сроки </w:t>
      </w:r>
    </w:p>
    <w:p>
      <w:pPr>
        <w:pStyle w:val="BodyText"/>
      </w:pPr>
      <w:r>
        <w:t xml:space="preserve">в соответствии с Федеральным законом от 02.05.2006 № 59-ФЗ «О порядке рассмотрения обращений граждан Российской Федерации». 3 обращения </w:t>
      </w:r>
    </w:p>
    <w:p>
      <w:pPr>
        <w:pStyle w:val="BodyText"/>
      </w:pPr>
      <w:r>
        <w:t xml:space="preserve">в настоящее время находятся на рассмотрении, срок исполнения не истек.</w:t>
      </w:r>
    </w:p>
    <w:p>
      <w:pPr>
        <w:pStyle w:val="BodyText"/>
      </w:pPr>
      <w:r>
        <w:t xml:space="preserve">В префектуре работает «Телефон горячей линии» </w:t>
      </w:r>
    </w:p>
    <w:p>
      <w:pPr>
        <w:pStyle w:val="BodyText"/>
      </w:pPr>
      <w:r>
        <w:t xml:space="preserve">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Во втором квартале 2019 года обращений по вопросам противодействия коррупции </w:t>
      </w:r>
    </w:p>
    <w:p>
      <w:pPr>
        <w:pStyle w:val="BodyText"/>
      </w:pPr>
      <w:r>
        <w:t xml:space="preserve">на «Телефон горячей линии» не поступало.</w:t>
      </w:r>
    </w:p>
    <w:p>
      <w:pPr>
        <w:pStyle w:val="BodyText"/>
      </w:pPr>
      <w:r>
        <w:t xml:space="preserve">За I полугодие 2020 года информации от управ районов, </w:t>
      </w:r>
    </w:p>
    <w:p>
      <w:pPr>
        <w:pStyle w:val="BodyText"/>
      </w:pPr>
      <w:r>
        <w:t xml:space="preserve">а также подведомственных префектуре государственных бюджетных </w:t>
      </w:r>
    </w:p>
    <w:p>
      <w:pPr>
        <w:pStyle w:val="BodyText"/>
      </w:pPr>
      <w:r>
        <w:t xml:space="preserve">и казенных учреждений, граждан и представителей организаций </w:t>
      </w:r>
    </w:p>
    <w:p>
      <w:pPr>
        <w:pStyle w:val="BodyText"/>
      </w:pPr>
      <w:r>
        <w:t xml:space="preserve">по вопросам противодействия коррупции о фактах склонения сотрудников </w:t>
      </w:r>
    </w:p>
    <w:p>
      <w:pPr>
        <w:pStyle w:val="BodyText"/>
      </w:pPr>
      <w:r>
        <w:t xml:space="preserve">к совершению коррупционных правонарушений не поступало.</w:t>
      </w:r>
    </w:p>
    <w:p>
      <w:pPr>
        <w:pStyle w:val="BodyText"/>
      </w:pPr>
      <w:r>
        <w:rPr>
          <w:iCs/>
          <w:i/>
        </w:rPr>
        <w:t xml:space="preserve">По пункту 1.15</w:t>
      </w:r>
    </w:p>
    <w:p>
      <w:pPr>
        <w:pStyle w:val="BodyText"/>
      </w:pPr>
      <w:r>
        <w:t xml:space="preserve">Нарушений соблюдения ГГС префектуры и управ районов ЮЗАО города Москвы антикоррупционных стандартов поведения не выявлено.</w:t>
      </w:r>
    </w:p>
    <w:p>
      <w:pPr>
        <w:pStyle w:val="BodyText"/>
      </w:pPr>
      <w:r>
        <w:rPr>
          <w:iCs/>
          <w:i/>
        </w:rPr>
        <w:t xml:space="preserve">По пункту 1.16</w:t>
      </w:r>
    </w:p>
    <w:p>
      <w:pPr>
        <w:pStyle w:val="BodyText"/>
      </w:pPr>
      <w:r>
        <w:t xml:space="preserve">В Приемную префектуры ЮЗАО города Москвы по вопросам, содержащим признаки коррупции, граждане и представители организаций не обращались.</w:t>
      </w:r>
    </w:p>
    <w:p>
      <w:pPr>
        <w:pStyle w:val="BodyText"/>
      </w:pPr>
      <w:r>
        <w:rPr>
          <w:iCs/>
          <w:i/>
        </w:rPr>
        <w:t xml:space="preserve">По пункту 1.21</w:t>
      </w:r>
    </w:p>
    <w:p>
      <w:pPr>
        <w:pStyle w:val="BodyText"/>
      </w:pPr>
      <w:r>
        <w:t xml:space="preserve">Фактов злоупотребления служебным положением ГГС префектуры Юго-Западного административного округа города Москвы и управ районов в отношениях с субъектами предпринимательской деятельности </w:t>
      </w:r>
    </w:p>
    <w:p>
      <w:pPr>
        <w:pStyle w:val="BodyText"/>
      </w:pPr>
      <w:r>
        <w:t xml:space="preserve">не выявлено.</w:t>
      </w:r>
    </w:p>
    <w:p>
      <w:pPr>
        <w:pStyle w:val="BodyText"/>
      </w:pPr>
      <w:r>
        <w:rPr>
          <w:iCs/>
          <w:i/>
        </w:rPr>
        <w:t xml:space="preserve">По пункту 1.22</w:t>
      </w:r>
    </w:p>
    <w:p>
      <w:pPr>
        <w:pStyle w:val="BodyText"/>
      </w:pPr>
      <w:r>
        <w:t xml:space="preserve"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>
      <w:pPr>
        <w:pStyle w:val="BodyText"/>
      </w:pPr>
      <w:r>
        <w:rPr>
          <w:iCs/>
          <w:i/>
        </w:rPr>
        <w:t xml:space="preserve">По пункту 2.3</w:t>
      </w:r>
    </w:p>
    <w:p>
      <w:pPr>
        <w:pStyle w:val="BodyText"/>
      </w:pPr>
      <w:r>
        <w:t xml:space="preserve">В соответствии с Указом Президента Российской Федерации </w:t>
      </w:r>
    </w:p>
    <w:p>
      <w:pPr>
        <w:pStyle w:val="BodyText"/>
      </w:pPr>
      <w:r>
        <w:t xml:space="preserve">от 17.04.2020 № 272 «О предоставлении сведений о доходах, расходах, </w:t>
      </w:r>
    </w:p>
    <w:p>
      <w:pPr>
        <w:pStyle w:val="BodyText"/>
      </w:pPr>
      <w:r>
        <w:t xml:space="preserve">об имуществе и обязательствах имущественного характера за отчетный период с 1 января по 31 декабря 2019 г.» срок подачи сведений продлен </w:t>
      </w:r>
    </w:p>
    <w:p>
      <w:pPr>
        <w:pStyle w:val="BodyText"/>
      </w:pPr>
      <w:r>
        <w:t xml:space="preserve">до 01.08.2020 включительно, в связи с этим проверка достоверности </w:t>
      </w:r>
    </w:p>
    <w:p>
      <w:pPr>
        <w:pStyle w:val="BodyText"/>
      </w:pPr>
      <w:r>
        <w:t xml:space="preserve">и полноты сведений о доходах организована не была.</w:t>
      </w:r>
    </w:p>
    <w:p>
      <w:pPr>
        <w:pStyle w:val="BodyText"/>
      </w:pPr>
      <w:r>
        <w:rPr>
          <w:iCs/>
          <w:i/>
        </w:rPr>
        <w:t xml:space="preserve">По пункту 2.4</w:t>
      </w:r>
    </w:p>
    <w:p>
      <w:pPr>
        <w:pStyle w:val="BodyText"/>
      </w:pPr>
      <w:r>
        <w:t xml:space="preserve">Уведомления ГГС префектуры и управ районов ЮЗАО города Москвы </w:t>
      </w:r>
    </w:p>
    <w:p>
      <w:pPr>
        <w:pStyle w:val="BodyText"/>
      </w:pPr>
      <w:r>
        <w:t xml:space="preserve">о случаях склонения к совершению коррупционных правонарушений, </w:t>
      </w:r>
    </w:p>
    <w:p>
      <w:pPr>
        <w:pStyle w:val="BodyText"/>
      </w:pPr>
      <w:r>
        <w:t xml:space="preserve">а также уведомления работников организаций, подведомственных префектуре ЮЗАО города Москвы, в целях предотвращения </w:t>
      </w:r>
    </w:p>
    <w:p>
      <w:pPr>
        <w:pStyle w:val="BodyText"/>
      </w:pPr>
      <w:r>
        <w:t xml:space="preserve">и урегулирования конфликта интересов, не поступали.</w:t>
      </w:r>
    </w:p>
    <w:p>
      <w:pPr>
        <w:pStyle w:val="BodyText"/>
      </w:pPr>
      <w:r>
        <w:rPr>
          <w:iCs/>
          <w:i/>
        </w:rPr>
        <w:t xml:space="preserve">По пункту 2.5</w:t>
      </w:r>
    </w:p>
    <w:p>
      <w:pPr>
        <w:pStyle w:val="BodyText"/>
      </w:pPr>
      <w:r>
        <w:t xml:space="preserve">Управлением государственной службы, кадров и противодействия коррупции префектуры постоянно проводится сверка и актуализация сведений, содержащаяся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rPr>
          <w:iCs/>
          <w:i/>
        </w:rPr>
        <w:t xml:space="preserve">По пункту 3.2</w:t>
      </w:r>
    </w:p>
    <w:p>
      <w:pPr>
        <w:pStyle w:val="BodyText"/>
      </w:pPr>
      <w:r>
        <w:t xml:space="preserve">Проведение мониторинга нарушений антимонопольного законодательства в сфере закупок осуществляется в соответствии </w:t>
      </w:r>
    </w:p>
    <w:p>
      <w:pPr>
        <w:pStyle w:val="BodyText"/>
      </w:pPr>
      <w:r>
        <w:t xml:space="preserve">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 </w:t>
      </w:r>
    </w:p>
    <w:p>
      <w:pPr>
        <w:pStyle w:val="BodyText"/>
      </w:pPr>
      <w:r>
        <w:t xml:space="preserve">не допускалось.</w:t>
      </w:r>
    </w:p>
    <w:p>
      <w:pPr>
        <w:pStyle w:val="BodyText"/>
      </w:pPr>
      <w:r>
        <w:rPr>
          <w:iCs/>
          <w:i/>
        </w:rPr>
        <w:t xml:space="preserve">По пункту 4.1</w:t>
      </w:r>
    </w:p>
    <w:p>
      <w:pPr>
        <w:pStyle w:val="BodyText"/>
      </w:pPr>
      <w:r>
        <w:t xml:space="preserve">05.03.2020 в префектуре ЮЗАО города Москвы прошел семинар </w:t>
      </w:r>
    </w:p>
    <w:p>
      <w:pPr>
        <w:pStyle w:val="BodyText"/>
      </w:pPr>
      <w:r>
        <w:t xml:space="preserve">для ГГС округа на тему: «Декларационная кампания 2020 года: порядок заполнения и представления сведений о доходах, расходах, об имуществе </w:t>
      </w:r>
    </w:p>
    <w:p>
      <w:pPr>
        <w:pStyle w:val="BodyText"/>
      </w:pPr>
      <w:r>
        <w:t xml:space="preserve">и обязательствах имущественного характера».</w:t>
      </w:r>
    </w:p>
    <w:p>
      <w:pPr>
        <w:pStyle w:val="BodyText"/>
      </w:pPr>
      <w:r>
        <w:rPr>
          <w:iCs/>
          <w:i/>
        </w:rPr>
        <w:t xml:space="preserve">По пункту 5.1</w:t>
      </w:r>
    </w:p>
    <w:p>
      <w:pPr>
        <w:pStyle w:val="BodyText"/>
      </w:pPr>
      <w:r>
        <w:t xml:space="preserve">В рамках антикоррупционного просвещения для ГГС округа организуются показы социальных роликов, раздаются буклеты, проводится ознакомление с нормативно-правовыми актами.</w:t>
      </w:r>
    </w:p>
    <w:p>
      <w:pPr>
        <w:pStyle w:val="BodyText"/>
      </w:pPr>
      <w:r>
        <w:rPr>
          <w:iCs/>
          <w:i/>
        </w:rPr>
        <w:t xml:space="preserve">По пункту 5.2</w:t>
      </w:r>
    </w:p>
    <w:p>
      <w:pPr>
        <w:pStyle w:val="BodyText"/>
      </w:pPr>
      <w:r>
        <w:t xml:space="preserve">На официальных сайтах префектуры и управ районов ЮЗАО города Москвы работают и регулярно обновляются разделы «Противодействие коррупции». На сайте префектуры ЮЗАО города Москвы размещен План противодействия коррупции на 2018-2020 годы. Для создания дополнительного источника информации организованы «Прямые линии» </w:t>
      </w:r>
    </w:p>
    <w:p>
      <w:pPr>
        <w:pStyle w:val="BodyText"/>
      </w:pPr>
      <w:r>
        <w:t xml:space="preserve">с гражданами по вопросам антикоррупционного просвещения.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http://uzao.mos.ru/combating-corruption/plans-papers-reports-reviews-static-information-on-combating-corruption/detail/9034797.html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9034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9034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2025-02-16T01:30:03Z</dcterms:created>
  <dcterms:modified xsi:type="dcterms:W3CDTF">2025-02-16T01:30:03Z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