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0181fc16c470033eca7486e27356486fab0c7"/>
    <w:p>
      <w:pPr>
        <w:pStyle w:val="Heading3"/>
      </w:pPr>
      <w:r>
        <w:t xml:space="preserve">5 марта в префектуре ЮЗАО состоялся семинар для участников декларационной кампании</w:t>
      </w:r>
    </w:p>
    <w:p>
      <w:pPr>
        <w:pStyle w:val="FirstParagraph"/>
      </w:pPr>
      <w:r>
        <w:t xml:space="preserve">06.03.2020</w:t>
      </w:r>
    </w:p>
    <w:p>
      <w:pPr>
        <w:pStyle w:val="BodyText"/>
      </w:pPr>
      <w:r>
        <w:rPr>
          <w:bCs/>
          <w:b/>
        </w:rPr>
        <w:t xml:space="preserve">5 марта 2020 года в актовом зале префектуры ЮЗАО города Москвы состоялся семинар на тему: «Декларационная кампания 2020: порядок заполнения и представления сведений о доходах, расходах, об имуществе и обязательствах имущественного характера»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6TYzjeyhl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 приняли участие сотрудники префектуры, управ районов и подведомственных учреждений Юго-Западного административного округа города Москвы. Серебряков Алексей Олегович, заведующий Сектором по реализации кадровой политики Управления государственной службы, кадров и противодействия коррупции префектуры ЮЗАО города Москвы, в своем выступлении уделил особое внимание основным новеллам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2020 году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http://uzao.mos.ru/combating-corruption/plans-papers-reports-reviews-static-information-on-combating-corruption/detail/8741131.html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combating-corruption/plans-papers-reports-reviews-static-information-on-combating-corruption/detail/8741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combating-corruption/plans-papers-reports-reviews-static-information-on-combating-corruption/detail/8741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2025-02-16T01:30:04Z</dcterms:created>
  <dcterms:modified xsi:type="dcterms:W3CDTF">2025-02-16T01:30:04Z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