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97f1ea186489315033beb4bdf342a2547117d"/>
    <w:p>
      <w:pPr>
        <w:pStyle w:val="Heading3"/>
      </w:pPr>
      <w:r>
        <w:t xml:space="preserve">В префектуре ЮЗАО состоялся семинар для участников декларационной кампании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Семинар%2001.02.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 февраля в актовом зале префектуры ЮЗАО города Москвы состоялся семинар на тему: «Декларационная кампания 2018: порядок заполнения и представления сведений о доходах, расходах, об имуществе и обязательствах имущественного характера»</w:t>
      </w:r>
    </w:p>
    <w:p>
      <w:pPr>
        <w:pStyle w:val="BodyText"/>
      </w:pPr>
      <w:r>
        <w:t xml:space="preserve">В мероприятии приняли участие сотрудники префектуры, управ районов и подведомственных учреждений Юго-Западного административного округа города Москвы. Также на обсуждение порядка представления сведений о доходах, расходах, имуществе и обязательствах имущественного характера были приглашены представители прокуратуры ЮЗАО города Москвы, Управления государственной службы и кадров Правительства Москвы и Департамента региональной безопасности и противодействия коррупции города Москвы.</w:t>
      </w:r>
    </w:p>
    <w:p>
      <w:pPr>
        <w:pStyle w:val="BodyText"/>
      </w:pPr>
      <w:r>
        <w:t xml:space="preserve">Начальник Управления государственной службы и кадров префектуры ЮЗАО города Москвы Головачев Сергей Михайлович в своем выступлении уделил особое внимание своевременности предоставления и правильности заполнения сведений о доходах, расходах, об имуществе и обязательствах имущественного характера, а также довел до всех присутствующих требования Федерального закона от 25 декабря 2008 года N 273-ФЗ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http://uzao.mos.ru/combating-corruption/plans-papers-reports-reviews-static-information-on-combating-corruption/detail/7123135.html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7123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7123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2025-07-24T11:00:25Z</dcterms:created>
  <dcterms:modified xsi:type="dcterms:W3CDTF">2025-07-24T11:00:25Z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