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0f43146804bd77fec62230d330feafd33e15a"/>
    <w:p>
      <w:pPr>
        <w:pStyle w:val="Heading3"/>
      </w:pPr>
      <w:r>
        <w:t xml:space="preserve">Геннадий Дёгтев: в столице появилось реальное средство для снижения административных барьеров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rPr>
          <w:bCs/>
          <w:b/>
        </w:rPr>
        <w:t xml:space="preserve">Открывая работу IV Международной конференции "Власть и бизнес против коррупции в сфере закупок и торгов", руководитель Департамента по конкурентной политике Геннадий Дёгтев рассказал о подходах, применяемых Правительством Москвы, и результатах, которые удалось получить.</w:t>
      </w:r>
    </w:p>
    <w:p>
      <w:pPr>
        <w:pStyle w:val="BodyText"/>
      </w:pPr>
      <w:r>
        <w:t xml:space="preserve">«Приоритет Москвы и главный тренд будущего года – повышение уровня открытости торгов и информированности предпринимателей. На 25 процентов выросло количество поставщиков столицы, они представляют 16 российских регионов и активно работают на Портале Поставщиков Москвы. Одним из инструментов, вовлечения бизнеса в работу с системой городского заказа стал сервис «Мосробот», – отметил Г. Дёгтев. Он также сообщил, что подписку на этот сервис уже оформили 60 тысяч предпринимателей, при этом «Мосробот» ежемесячно отправляет подписчикам три миллиона уведомлений о торгах и других возможностях для бизнеса. Таким образом, как отметил докладчик, появилось реальное средство для снижения административных барьеров и расширения способов коммуникации между властью и бизнесом.</w:t>
      </w:r>
    </w:p>
    <w:p>
      <w:pPr>
        <w:pStyle w:val="BodyText"/>
      </w:pPr>
      <w:r>
        <w:t xml:space="preserve">Реальным эффектом расширения пула поставщиков и, как следствие, увеличения конкуренции, стало снижение цен контрактов, достигающее в среднем 13%.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http://uzao.mos.ru/combating-corruption/plans-papers-reports-reviews-static-information-on-combating-corruption/detail/4396794.html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4396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4396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2023-12-20T08:20:12Z</dcterms:created>
  <dcterms:modified xsi:type="dcterms:W3CDTF">2023-12-20T08:20:12Z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